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6" w:rsidRPr="00E00BC8" w:rsidRDefault="00767916" w:rsidP="00767916">
      <w:pPr>
        <w:jc w:val="center"/>
        <w:rPr>
          <w:b/>
          <w:bCs/>
          <w:sz w:val="24"/>
          <w:szCs w:val="24"/>
        </w:rPr>
      </w:pPr>
      <w:r w:rsidRPr="00E00BC8">
        <w:rPr>
          <w:b/>
          <w:bCs/>
          <w:sz w:val="24"/>
          <w:szCs w:val="24"/>
        </w:rPr>
        <w:t>РОССИЙСКАЯ ФЕДЕРАЦИЯ</w:t>
      </w:r>
    </w:p>
    <w:p w:rsidR="00767916" w:rsidRPr="00E00BC8" w:rsidRDefault="00767916" w:rsidP="00767916">
      <w:pPr>
        <w:jc w:val="center"/>
        <w:rPr>
          <w:b/>
          <w:bCs/>
          <w:sz w:val="24"/>
          <w:szCs w:val="24"/>
        </w:rPr>
      </w:pPr>
      <w:r w:rsidRPr="00E00BC8">
        <w:rPr>
          <w:b/>
          <w:bCs/>
          <w:sz w:val="24"/>
          <w:szCs w:val="24"/>
        </w:rPr>
        <w:t>ИРКУТСКАЯ ОБЛАСТЬ</w:t>
      </w:r>
    </w:p>
    <w:p w:rsidR="00767916" w:rsidRPr="00E00BC8" w:rsidRDefault="00767916" w:rsidP="00767916">
      <w:pPr>
        <w:jc w:val="center"/>
        <w:rPr>
          <w:b/>
          <w:bCs/>
          <w:sz w:val="24"/>
          <w:szCs w:val="24"/>
        </w:rPr>
      </w:pPr>
      <w:r w:rsidRPr="00E00BC8">
        <w:rPr>
          <w:b/>
          <w:bCs/>
          <w:sz w:val="24"/>
          <w:szCs w:val="24"/>
        </w:rPr>
        <w:t>БРАТСКИЙ РАЙОН</w:t>
      </w:r>
    </w:p>
    <w:p w:rsidR="00767916" w:rsidRPr="00E00BC8" w:rsidRDefault="00767916" w:rsidP="00767916">
      <w:pPr>
        <w:jc w:val="center"/>
        <w:rPr>
          <w:b/>
          <w:bCs/>
          <w:sz w:val="24"/>
          <w:szCs w:val="24"/>
        </w:rPr>
      </w:pPr>
      <w:r w:rsidRPr="00E00BC8">
        <w:rPr>
          <w:b/>
          <w:bCs/>
          <w:sz w:val="24"/>
          <w:szCs w:val="24"/>
        </w:rPr>
        <w:t>ВИХОРЕВСКОЕ ГОРОДСКОЕ ПОСЕЛЕНИЕ</w:t>
      </w:r>
    </w:p>
    <w:p w:rsidR="00767916" w:rsidRPr="00E00BC8" w:rsidRDefault="00767916" w:rsidP="00767916">
      <w:pPr>
        <w:jc w:val="center"/>
        <w:rPr>
          <w:b/>
          <w:bCs/>
          <w:sz w:val="24"/>
          <w:szCs w:val="24"/>
        </w:rPr>
      </w:pPr>
      <w:r w:rsidRPr="00E00BC8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767916" w:rsidRPr="00E00BC8" w:rsidRDefault="00767916" w:rsidP="00767916">
      <w:pPr>
        <w:jc w:val="center"/>
        <w:rPr>
          <w:sz w:val="24"/>
          <w:szCs w:val="24"/>
        </w:rPr>
      </w:pPr>
    </w:p>
    <w:p w:rsidR="00767916" w:rsidRPr="00E00BC8" w:rsidRDefault="00767916" w:rsidP="00767916">
      <w:pPr>
        <w:jc w:val="center"/>
        <w:rPr>
          <w:b/>
          <w:sz w:val="24"/>
          <w:szCs w:val="24"/>
        </w:rPr>
      </w:pPr>
      <w:r w:rsidRPr="00E00BC8">
        <w:rPr>
          <w:b/>
          <w:sz w:val="24"/>
          <w:szCs w:val="24"/>
        </w:rPr>
        <w:t xml:space="preserve">Р Е Ш Е Н И Е </w:t>
      </w:r>
    </w:p>
    <w:p w:rsidR="00767916" w:rsidRPr="00E00BC8" w:rsidRDefault="00767916" w:rsidP="00767916">
      <w:pPr>
        <w:jc w:val="center"/>
        <w:rPr>
          <w:b/>
          <w:sz w:val="24"/>
          <w:szCs w:val="24"/>
        </w:rPr>
      </w:pPr>
    </w:p>
    <w:p w:rsidR="00767916" w:rsidRPr="00E00BC8" w:rsidRDefault="00E00BC8" w:rsidP="00767916">
      <w:pPr>
        <w:jc w:val="center"/>
        <w:rPr>
          <w:b/>
          <w:sz w:val="24"/>
          <w:szCs w:val="24"/>
        </w:rPr>
      </w:pPr>
      <w:r w:rsidRPr="00E00BC8">
        <w:rPr>
          <w:b/>
          <w:sz w:val="24"/>
          <w:szCs w:val="24"/>
        </w:rPr>
        <w:t>№ 163 от 13.04.2016 г.</w:t>
      </w:r>
    </w:p>
    <w:p w:rsidR="00767916" w:rsidRDefault="00767916" w:rsidP="00767916">
      <w:r>
        <w:t xml:space="preserve">                                                       </w:t>
      </w:r>
    </w:p>
    <w:p w:rsidR="00767916" w:rsidRPr="00663652" w:rsidRDefault="00767916" w:rsidP="00767916">
      <w:pPr>
        <w:rPr>
          <w:b/>
          <w:sz w:val="26"/>
          <w:szCs w:val="26"/>
        </w:rPr>
      </w:pPr>
      <w:r w:rsidRPr="00663652">
        <w:rPr>
          <w:b/>
          <w:sz w:val="26"/>
          <w:szCs w:val="26"/>
        </w:rPr>
        <w:t xml:space="preserve">Об исполнении бюджета </w:t>
      </w:r>
    </w:p>
    <w:p w:rsidR="00767916" w:rsidRPr="00663652" w:rsidRDefault="00767916" w:rsidP="00767916">
      <w:pPr>
        <w:rPr>
          <w:b/>
          <w:sz w:val="26"/>
          <w:szCs w:val="26"/>
        </w:rPr>
      </w:pPr>
      <w:r w:rsidRPr="00663652">
        <w:rPr>
          <w:b/>
          <w:sz w:val="26"/>
          <w:szCs w:val="26"/>
        </w:rPr>
        <w:t xml:space="preserve">Вихоревского городского </w:t>
      </w:r>
    </w:p>
    <w:p w:rsidR="00767916" w:rsidRDefault="00767916" w:rsidP="00767916">
      <w:pPr>
        <w:rPr>
          <w:b/>
          <w:sz w:val="26"/>
          <w:szCs w:val="26"/>
        </w:rPr>
      </w:pPr>
      <w:r w:rsidRPr="00663652">
        <w:rPr>
          <w:b/>
          <w:sz w:val="26"/>
          <w:szCs w:val="26"/>
        </w:rPr>
        <w:t>поселения за 201</w:t>
      </w:r>
      <w:r>
        <w:rPr>
          <w:b/>
          <w:sz w:val="26"/>
          <w:szCs w:val="26"/>
        </w:rPr>
        <w:t>4</w:t>
      </w:r>
      <w:r w:rsidRPr="00663652">
        <w:rPr>
          <w:b/>
          <w:sz w:val="26"/>
          <w:szCs w:val="26"/>
        </w:rPr>
        <w:t xml:space="preserve"> год</w:t>
      </w:r>
    </w:p>
    <w:p w:rsidR="00767916" w:rsidRDefault="00767916" w:rsidP="00767916">
      <w:pPr>
        <w:rPr>
          <w:b/>
          <w:sz w:val="26"/>
          <w:szCs w:val="26"/>
        </w:rPr>
      </w:pPr>
    </w:p>
    <w:p w:rsidR="00767916" w:rsidRPr="00E820A1" w:rsidRDefault="00767916" w:rsidP="00767916">
      <w:pPr>
        <w:suppressAutoHyphens/>
        <w:ind w:firstLine="720"/>
        <w:jc w:val="both"/>
        <w:rPr>
          <w:sz w:val="24"/>
          <w:szCs w:val="24"/>
        </w:rPr>
      </w:pPr>
      <w:r w:rsidRPr="00E820A1">
        <w:rPr>
          <w:b/>
          <w:sz w:val="24"/>
          <w:szCs w:val="24"/>
        </w:rPr>
        <w:t xml:space="preserve"> </w:t>
      </w:r>
      <w:proofErr w:type="gramStart"/>
      <w:r w:rsidRPr="00E820A1">
        <w:rPr>
          <w:sz w:val="24"/>
          <w:szCs w:val="24"/>
        </w:rPr>
        <w:t>Рассмотрев отчет об исполнении бюджета Вихоревского городского поселения за 201</w:t>
      </w:r>
      <w:r>
        <w:rPr>
          <w:sz w:val="24"/>
          <w:szCs w:val="24"/>
        </w:rPr>
        <w:t>4</w:t>
      </w:r>
      <w:r w:rsidRPr="00E820A1">
        <w:rPr>
          <w:sz w:val="24"/>
          <w:szCs w:val="24"/>
        </w:rPr>
        <w:t xml:space="preserve"> год, руководствуясь ст. 81, 264.2, 264.5, 264.6 Бюджетного кодекса Российской Федерации, </w:t>
      </w:r>
      <w:r>
        <w:rPr>
          <w:sz w:val="24"/>
          <w:szCs w:val="24"/>
        </w:rPr>
        <w:t>п.2 ч.1 ст.32, ст.48</w:t>
      </w:r>
      <w:r w:rsidRPr="00E820A1">
        <w:rPr>
          <w:sz w:val="24"/>
          <w:szCs w:val="24"/>
        </w:rPr>
        <w:t xml:space="preserve"> Устава Вихоревского муниципального образования</w:t>
      </w:r>
      <w:r>
        <w:rPr>
          <w:sz w:val="24"/>
          <w:szCs w:val="24"/>
        </w:rPr>
        <w:t xml:space="preserve">, ст. </w:t>
      </w:r>
      <w:r w:rsidRPr="00E820A1">
        <w:rPr>
          <w:sz w:val="24"/>
          <w:szCs w:val="24"/>
        </w:rPr>
        <w:t>38</w:t>
      </w:r>
      <w:r>
        <w:rPr>
          <w:sz w:val="24"/>
          <w:szCs w:val="24"/>
        </w:rPr>
        <w:t>, 40, 41</w:t>
      </w:r>
      <w:r w:rsidRPr="00E820A1">
        <w:rPr>
          <w:sz w:val="24"/>
          <w:szCs w:val="24"/>
        </w:rPr>
        <w:t xml:space="preserve"> Положения «О бюджетном процессе в </w:t>
      </w:r>
      <w:proofErr w:type="spellStart"/>
      <w:r w:rsidRPr="00E820A1">
        <w:rPr>
          <w:sz w:val="24"/>
          <w:szCs w:val="24"/>
        </w:rPr>
        <w:t>Вихоревском</w:t>
      </w:r>
      <w:proofErr w:type="spellEnd"/>
      <w:r w:rsidRPr="00E820A1">
        <w:rPr>
          <w:sz w:val="24"/>
          <w:szCs w:val="24"/>
        </w:rPr>
        <w:t xml:space="preserve"> муниципальном образовании»,</w:t>
      </w:r>
      <w:r>
        <w:rPr>
          <w:sz w:val="24"/>
          <w:szCs w:val="24"/>
        </w:rPr>
        <w:t xml:space="preserve"> ч.2 ст.55 Регламента Думы Вихоревского муниципального образования,</w:t>
      </w:r>
      <w:r w:rsidRPr="00E820A1">
        <w:rPr>
          <w:sz w:val="24"/>
          <w:szCs w:val="24"/>
        </w:rPr>
        <w:t xml:space="preserve"> Дума Вихоревского муниципального образования</w:t>
      </w:r>
      <w:proofErr w:type="gramEnd"/>
    </w:p>
    <w:p w:rsidR="00767916" w:rsidRDefault="00767916" w:rsidP="00767916">
      <w:pPr>
        <w:suppressAutoHyphens/>
        <w:jc w:val="both"/>
        <w:rPr>
          <w:sz w:val="24"/>
          <w:szCs w:val="24"/>
        </w:rPr>
      </w:pPr>
    </w:p>
    <w:p w:rsidR="00767916" w:rsidRPr="00E820A1" w:rsidRDefault="00767916" w:rsidP="00767916">
      <w:pPr>
        <w:suppressAutoHyphens/>
        <w:jc w:val="both"/>
        <w:rPr>
          <w:sz w:val="24"/>
          <w:szCs w:val="24"/>
        </w:rPr>
      </w:pPr>
      <w:proofErr w:type="gramStart"/>
      <w:r w:rsidRPr="00E820A1">
        <w:rPr>
          <w:b/>
          <w:sz w:val="24"/>
          <w:szCs w:val="24"/>
        </w:rPr>
        <w:t>Р</w:t>
      </w:r>
      <w:proofErr w:type="gramEnd"/>
      <w:r w:rsidRPr="00E820A1">
        <w:rPr>
          <w:b/>
          <w:sz w:val="24"/>
          <w:szCs w:val="24"/>
        </w:rPr>
        <w:t xml:space="preserve"> Е Ш И Л А:</w:t>
      </w:r>
    </w:p>
    <w:p w:rsidR="00767916" w:rsidRDefault="00767916" w:rsidP="0076791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67916" w:rsidRPr="00E820A1" w:rsidRDefault="00767916" w:rsidP="00767916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0A1">
        <w:rPr>
          <w:sz w:val="24"/>
          <w:szCs w:val="24"/>
        </w:rPr>
        <w:t>1. Утвердить:</w:t>
      </w:r>
    </w:p>
    <w:p w:rsidR="00767916" w:rsidRPr="00E820A1" w:rsidRDefault="00767916" w:rsidP="0076791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</w:t>
      </w:r>
      <w:r w:rsidRPr="00E820A1">
        <w:rPr>
          <w:sz w:val="24"/>
          <w:szCs w:val="24"/>
        </w:rPr>
        <w:t>тчет об исполнении бюджета Вихоревск</w:t>
      </w:r>
      <w:r>
        <w:rPr>
          <w:sz w:val="24"/>
          <w:szCs w:val="24"/>
        </w:rPr>
        <w:t>ого городского поселения за 2014</w:t>
      </w:r>
      <w:r w:rsidRPr="00E820A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>80 028,4</w:t>
      </w:r>
      <w:r w:rsidRPr="00E820A1">
        <w:rPr>
          <w:sz w:val="24"/>
          <w:szCs w:val="24"/>
        </w:rPr>
        <w:t xml:space="preserve"> тыс. рублей, по расходам в сумме </w:t>
      </w:r>
      <w:r>
        <w:rPr>
          <w:sz w:val="24"/>
          <w:szCs w:val="24"/>
        </w:rPr>
        <w:t>74 690,5</w:t>
      </w:r>
      <w:r w:rsidRPr="00E820A1">
        <w:rPr>
          <w:sz w:val="24"/>
          <w:szCs w:val="24"/>
        </w:rPr>
        <w:t xml:space="preserve"> тыс. рублей с превышением </w:t>
      </w:r>
      <w:r>
        <w:rPr>
          <w:sz w:val="24"/>
          <w:szCs w:val="24"/>
        </w:rPr>
        <w:t>доходов</w:t>
      </w:r>
      <w:r w:rsidRPr="00E820A1">
        <w:rPr>
          <w:sz w:val="24"/>
          <w:szCs w:val="24"/>
        </w:rPr>
        <w:t xml:space="preserve"> над </w:t>
      </w:r>
      <w:r>
        <w:rPr>
          <w:sz w:val="24"/>
          <w:szCs w:val="24"/>
        </w:rPr>
        <w:t>расходами</w:t>
      </w:r>
      <w:r w:rsidRPr="00E820A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профицит</w:t>
      </w:r>
      <w:proofErr w:type="spellEnd"/>
      <w:r w:rsidRPr="00E820A1">
        <w:rPr>
          <w:sz w:val="24"/>
          <w:szCs w:val="24"/>
        </w:rPr>
        <w:t xml:space="preserve"> бюджета Вихоревского городского поселения) в сумме </w:t>
      </w:r>
      <w:r>
        <w:rPr>
          <w:sz w:val="24"/>
          <w:szCs w:val="24"/>
        </w:rPr>
        <w:t>5 337,9</w:t>
      </w:r>
      <w:r w:rsidRPr="00E820A1">
        <w:rPr>
          <w:sz w:val="24"/>
          <w:szCs w:val="24"/>
        </w:rPr>
        <w:t xml:space="preserve"> тыс. рублей и со следующими показателями:</w:t>
      </w:r>
    </w:p>
    <w:p w:rsidR="00767916" w:rsidRPr="00E820A1" w:rsidRDefault="00767916" w:rsidP="00767916">
      <w:pPr>
        <w:suppressAutoHyphens/>
        <w:ind w:firstLine="709"/>
        <w:jc w:val="both"/>
        <w:rPr>
          <w:sz w:val="24"/>
          <w:szCs w:val="24"/>
        </w:rPr>
      </w:pPr>
      <w:r w:rsidRPr="00E820A1">
        <w:rPr>
          <w:sz w:val="24"/>
          <w:szCs w:val="24"/>
        </w:rPr>
        <w:t>- доходы бюджета Вихоревского городского поселения по кодам класси</w:t>
      </w:r>
      <w:r>
        <w:rPr>
          <w:sz w:val="24"/>
          <w:szCs w:val="24"/>
        </w:rPr>
        <w:t>фикации доходов бюджетов за 2014</w:t>
      </w:r>
      <w:r w:rsidRPr="00E820A1">
        <w:rPr>
          <w:sz w:val="24"/>
          <w:szCs w:val="24"/>
        </w:rPr>
        <w:t xml:space="preserve"> год согласно приложению 1 к настоящему Решению;</w:t>
      </w:r>
    </w:p>
    <w:p w:rsidR="00767916" w:rsidRPr="00E820A1" w:rsidRDefault="00767916" w:rsidP="00767916">
      <w:pPr>
        <w:suppressAutoHyphens/>
        <w:ind w:firstLine="709"/>
        <w:jc w:val="both"/>
        <w:rPr>
          <w:sz w:val="24"/>
          <w:szCs w:val="24"/>
        </w:rPr>
      </w:pPr>
      <w:r w:rsidRPr="00E820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20A1">
        <w:rPr>
          <w:sz w:val="24"/>
          <w:szCs w:val="24"/>
        </w:rPr>
        <w:t>расходы бюджета Вихоревского городского поселения по разделам и подразделам классиф</w:t>
      </w:r>
      <w:r>
        <w:rPr>
          <w:sz w:val="24"/>
          <w:szCs w:val="24"/>
        </w:rPr>
        <w:t>икации расходов бюджетов за 2014 год согласно приложению 2</w:t>
      </w:r>
      <w:r w:rsidRPr="00E820A1">
        <w:rPr>
          <w:sz w:val="24"/>
          <w:szCs w:val="24"/>
        </w:rPr>
        <w:t xml:space="preserve"> к настоящему Решению;</w:t>
      </w:r>
    </w:p>
    <w:p w:rsidR="00767916" w:rsidRPr="00E820A1" w:rsidRDefault="00767916" w:rsidP="00767916">
      <w:pPr>
        <w:suppressAutoHyphens/>
        <w:ind w:firstLine="709"/>
        <w:jc w:val="both"/>
        <w:rPr>
          <w:sz w:val="24"/>
          <w:szCs w:val="24"/>
        </w:rPr>
      </w:pPr>
      <w:r w:rsidRPr="00E820A1">
        <w:rPr>
          <w:sz w:val="24"/>
          <w:szCs w:val="24"/>
        </w:rPr>
        <w:t xml:space="preserve">- расходы бюджета Вихоревского городского поселения по ведомственной структуре расходов бюджета Вихоревского городского поселения за </w:t>
      </w:r>
      <w:r>
        <w:rPr>
          <w:sz w:val="24"/>
          <w:szCs w:val="24"/>
        </w:rPr>
        <w:t>2014</w:t>
      </w:r>
      <w:r w:rsidRPr="00E820A1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3</w:t>
      </w:r>
      <w:r w:rsidRPr="00E820A1">
        <w:rPr>
          <w:sz w:val="24"/>
          <w:szCs w:val="24"/>
        </w:rPr>
        <w:t xml:space="preserve"> к настоящему Решению;</w:t>
      </w:r>
    </w:p>
    <w:p w:rsidR="00767916" w:rsidRPr="00BE4C45" w:rsidRDefault="00767916" w:rsidP="00767916">
      <w:pPr>
        <w:suppressAutoHyphens/>
        <w:ind w:firstLine="709"/>
        <w:jc w:val="both"/>
        <w:rPr>
          <w:sz w:val="24"/>
          <w:szCs w:val="24"/>
        </w:rPr>
      </w:pPr>
      <w:r w:rsidRPr="00E820A1">
        <w:rPr>
          <w:sz w:val="24"/>
          <w:szCs w:val="24"/>
        </w:rPr>
        <w:t xml:space="preserve">- источники финансирования дефицита бюджета Вихоревского городского поселения по кодам </w:t>
      </w:r>
      <w:proofErr w:type="gramStart"/>
      <w:r w:rsidRPr="00E820A1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820A1">
        <w:rPr>
          <w:sz w:val="24"/>
          <w:szCs w:val="24"/>
        </w:rPr>
        <w:t xml:space="preserve"> за 201</w:t>
      </w:r>
      <w:r>
        <w:rPr>
          <w:sz w:val="24"/>
          <w:szCs w:val="24"/>
        </w:rPr>
        <w:t>4</w:t>
      </w:r>
      <w:r w:rsidRPr="00E820A1">
        <w:rPr>
          <w:sz w:val="24"/>
          <w:szCs w:val="24"/>
        </w:rPr>
        <w:t xml:space="preserve"> год согласно </w:t>
      </w:r>
      <w:r>
        <w:rPr>
          <w:sz w:val="24"/>
          <w:szCs w:val="24"/>
        </w:rPr>
        <w:t>приложению 4</w:t>
      </w:r>
      <w:r w:rsidRPr="00BE4C45">
        <w:rPr>
          <w:sz w:val="24"/>
          <w:szCs w:val="24"/>
        </w:rPr>
        <w:t xml:space="preserve"> к настоящему Решению;</w:t>
      </w:r>
    </w:p>
    <w:p w:rsidR="00767916" w:rsidRDefault="00767916" w:rsidP="0076791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</w:t>
      </w:r>
      <w:r w:rsidRPr="00BE4C45">
        <w:rPr>
          <w:sz w:val="24"/>
          <w:szCs w:val="24"/>
        </w:rPr>
        <w:t>тчет об использовании средств резервного фонда бюджета Вихоревск</w:t>
      </w:r>
      <w:r>
        <w:rPr>
          <w:sz w:val="24"/>
          <w:szCs w:val="24"/>
        </w:rPr>
        <w:t>ого городского поселения за 2014</w:t>
      </w:r>
      <w:r w:rsidRPr="00BE4C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5</w:t>
      </w:r>
      <w:r w:rsidRPr="00BE4C45">
        <w:rPr>
          <w:sz w:val="24"/>
          <w:szCs w:val="24"/>
        </w:rPr>
        <w:t xml:space="preserve"> к настоящему Решению.</w:t>
      </w:r>
    </w:p>
    <w:p w:rsidR="00767916" w:rsidRDefault="00767916" w:rsidP="0076791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Отчет об использовании бюджетных ассигнований Дорожного фонда Вихоревского городского поселения за 2014 год согласно приложению 6 к настоящему Решению.</w:t>
      </w:r>
    </w:p>
    <w:p w:rsidR="00767916" w:rsidRDefault="00767916" w:rsidP="00767916">
      <w:pPr>
        <w:pStyle w:val="ConsNormal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бюджету, налогам и финансово-экономической деятельности.</w:t>
      </w:r>
    </w:p>
    <w:p w:rsidR="00767916" w:rsidRDefault="00767916" w:rsidP="00767916">
      <w:pPr>
        <w:pStyle w:val="ConsNormal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Pr="00E820A1">
        <w:rPr>
          <w:rFonts w:ascii="Times New Roman" w:hAnsi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/>
          <w:sz w:val="24"/>
          <w:szCs w:val="24"/>
        </w:rPr>
        <w:t>со</w:t>
      </w:r>
      <w:r w:rsidRPr="00E820A1">
        <w:rPr>
          <w:rFonts w:ascii="Times New Roman" w:hAnsi="Times New Roman"/>
          <w:sz w:val="24"/>
          <w:szCs w:val="24"/>
        </w:rPr>
        <w:t xml:space="preserve"> дня его </w:t>
      </w:r>
      <w:r>
        <w:rPr>
          <w:rFonts w:ascii="Times New Roman" w:hAnsi="Times New Roman"/>
          <w:sz w:val="24"/>
          <w:szCs w:val="24"/>
        </w:rPr>
        <w:t>подписания и подлежит официальному  опубликованию (обнародованию)</w:t>
      </w:r>
      <w:r w:rsidRPr="00E820A1">
        <w:rPr>
          <w:rFonts w:ascii="Times New Roman" w:hAnsi="Times New Roman"/>
          <w:sz w:val="24"/>
          <w:szCs w:val="24"/>
        </w:rPr>
        <w:t>.</w:t>
      </w:r>
    </w:p>
    <w:p w:rsidR="00767916" w:rsidRPr="00E820A1" w:rsidRDefault="00767916" w:rsidP="00767916">
      <w:pPr>
        <w:pStyle w:val="ConsNormal"/>
        <w:suppressAutoHyphens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767916" w:rsidRDefault="00767916" w:rsidP="00767916">
      <w:pPr>
        <w:suppressAutoHyphens/>
        <w:jc w:val="both"/>
        <w:rPr>
          <w:b/>
          <w:sz w:val="24"/>
          <w:szCs w:val="24"/>
        </w:rPr>
      </w:pPr>
    </w:p>
    <w:p w:rsidR="00767916" w:rsidRPr="00BE4C45" w:rsidRDefault="00767916" w:rsidP="00767916">
      <w:pPr>
        <w:suppressAutoHyphens/>
        <w:jc w:val="both"/>
        <w:rPr>
          <w:b/>
          <w:sz w:val="24"/>
          <w:szCs w:val="24"/>
        </w:rPr>
      </w:pPr>
      <w:r w:rsidRPr="00BE4C45">
        <w:rPr>
          <w:b/>
          <w:sz w:val="24"/>
          <w:szCs w:val="24"/>
        </w:rPr>
        <w:t>Председатель Думы Вихоревского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Е.А. Ясинская</w:t>
      </w:r>
    </w:p>
    <w:p w:rsidR="00767916" w:rsidRDefault="00767916" w:rsidP="00767916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E4C45">
        <w:rPr>
          <w:b/>
          <w:sz w:val="24"/>
          <w:szCs w:val="24"/>
        </w:rPr>
        <w:t xml:space="preserve">униципального образования </w:t>
      </w:r>
    </w:p>
    <w:p w:rsidR="00767916" w:rsidRDefault="00767916" w:rsidP="00767916">
      <w:pPr>
        <w:suppressAutoHyphens/>
        <w:jc w:val="both"/>
        <w:rPr>
          <w:b/>
          <w:sz w:val="24"/>
          <w:szCs w:val="24"/>
        </w:rPr>
      </w:pPr>
    </w:p>
    <w:p w:rsidR="00767916" w:rsidRDefault="00767916" w:rsidP="00767916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Вихоревского </w:t>
      </w:r>
    </w:p>
    <w:p w:rsidR="00367846" w:rsidRDefault="00767916" w:rsidP="00CF648F">
      <w:pPr>
        <w:suppressAutoHyphens/>
        <w:jc w:val="both"/>
        <w:rPr>
          <w:b/>
          <w:sz w:val="24"/>
          <w:szCs w:val="24"/>
        </w:rPr>
      </w:pPr>
      <w:r w:rsidRPr="00BE4C45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Г.К. </w:t>
      </w:r>
      <w:proofErr w:type="spellStart"/>
      <w:r>
        <w:rPr>
          <w:b/>
          <w:sz w:val="24"/>
          <w:szCs w:val="24"/>
        </w:rPr>
        <w:t>Пуляев</w:t>
      </w:r>
      <w:proofErr w:type="spellEnd"/>
    </w:p>
    <w:p w:rsidR="002E32A2" w:rsidRDefault="002E32A2" w:rsidP="00CF648F">
      <w:pPr>
        <w:suppressAutoHyphens/>
        <w:jc w:val="both"/>
        <w:rPr>
          <w:b/>
          <w:sz w:val="24"/>
          <w:szCs w:val="24"/>
        </w:rPr>
      </w:pPr>
    </w:p>
    <w:p w:rsidR="002E32A2" w:rsidRDefault="002E32A2" w:rsidP="00CF648F">
      <w:pPr>
        <w:suppressAutoHyphens/>
        <w:jc w:val="both"/>
        <w:rPr>
          <w:b/>
          <w:sz w:val="24"/>
          <w:szCs w:val="24"/>
        </w:rPr>
      </w:pPr>
    </w:p>
    <w:tbl>
      <w:tblPr>
        <w:tblW w:w="5086" w:type="pct"/>
        <w:tblLayout w:type="fixed"/>
        <w:tblLook w:val="04A0"/>
      </w:tblPr>
      <w:tblGrid>
        <w:gridCol w:w="5393"/>
        <w:gridCol w:w="1236"/>
        <w:gridCol w:w="514"/>
        <w:gridCol w:w="1744"/>
        <w:gridCol w:w="151"/>
        <w:gridCol w:w="1418"/>
      </w:tblGrid>
      <w:tr w:rsidR="002E32A2" w:rsidRPr="002E32A2" w:rsidTr="002E32A2">
        <w:trPr>
          <w:trHeight w:val="37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bookmarkStart w:id="0" w:name="RANGE!A1:D47"/>
            <w:bookmarkEnd w:id="0"/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Приложение № 1</w:t>
            </w:r>
          </w:p>
        </w:tc>
      </w:tr>
      <w:tr w:rsidR="002E32A2" w:rsidRPr="002E32A2" w:rsidTr="002E32A2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к решению Думы Вихоревского МО</w:t>
            </w:r>
          </w:p>
        </w:tc>
      </w:tr>
      <w:tr w:rsidR="002E32A2" w:rsidRPr="002E32A2" w:rsidTr="002E32A2">
        <w:trPr>
          <w:trHeight w:val="450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от 13.04.2016 г. № 163</w:t>
            </w:r>
          </w:p>
        </w:tc>
      </w:tr>
      <w:tr w:rsidR="002E32A2" w:rsidRPr="002E32A2" w:rsidTr="002E32A2">
        <w:trPr>
          <w:trHeight w:val="300"/>
        </w:trPr>
        <w:tc>
          <w:tcPr>
            <w:tcW w:w="4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2A2" w:rsidRPr="002E32A2" w:rsidTr="002E32A2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 xml:space="preserve">ДОХОДЫ БЮДЖЕТА ВИХОРЕВСКОГО ГОРОДСКОГО ПОСЕЛЕНИЯ ПО КОДАМ КЛАССИФИКАЦИИ ДОХОДОВ БЮДЖЕТОВ ЗА 2014 ГОД </w:t>
            </w:r>
          </w:p>
        </w:tc>
      </w:tr>
      <w:tr w:rsidR="002E32A2" w:rsidRPr="002E32A2" w:rsidTr="002E32A2">
        <w:trPr>
          <w:trHeight w:val="46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тыс. руб.</w:t>
            </w:r>
          </w:p>
        </w:tc>
      </w:tr>
      <w:tr w:rsidR="002E32A2" w:rsidRPr="002E32A2" w:rsidTr="002E32A2">
        <w:trPr>
          <w:trHeight w:val="510"/>
        </w:trPr>
        <w:tc>
          <w:tcPr>
            <w:tcW w:w="2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2E32A2" w:rsidRPr="002E32A2" w:rsidTr="002E32A2">
        <w:trPr>
          <w:trHeight w:val="1365"/>
        </w:trPr>
        <w:tc>
          <w:tcPr>
            <w:tcW w:w="2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115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80 028,4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2 043,6</w:t>
            </w:r>
          </w:p>
        </w:tc>
      </w:tr>
      <w:tr w:rsidR="002E32A2" w:rsidRPr="002E32A2" w:rsidTr="002E32A2">
        <w:trPr>
          <w:trHeight w:val="126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100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1 03 02230 01 0000 110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771,3</w:t>
            </w:r>
          </w:p>
        </w:tc>
      </w:tr>
      <w:tr w:rsidR="002E32A2" w:rsidRPr="002E32A2" w:rsidTr="002E32A2">
        <w:trPr>
          <w:trHeight w:val="157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32A2">
              <w:rPr>
                <w:sz w:val="22"/>
                <w:szCs w:val="22"/>
              </w:rPr>
              <w:t>инжекторных</w:t>
            </w:r>
            <w:proofErr w:type="spellEnd"/>
            <w:r w:rsidRPr="002E32A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100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1 03 02240 01 0000 110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17,4</w:t>
            </w:r>
          </w:p>
        </w:tc>
      </w:tr>
      <w:tr w:rsidR="002E32A2" w:rsidRPr="002E32A2" w:rsidTr="002E32A2">
        <w:trPr>
          <w:trHeight w:val="126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100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1 03 02250 01 0000 110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1 321,3</w:t>
            </w:r>
          </w:p>
        </w:tc>
      </w:tr>
      <w:tr w:rsidR="002E32A2" w:rsidRPr="002E32A2" w:rsidTr="002E32A2">
        <w:trPr>
          <w:trHeight w:val="1249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100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1 03 02260 01 0000 110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-66,4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51 334,5</w:t>
            </w:r>
          </w:p>
        </w:tc>
      </w:tr>
      <w:tr w:rsidR="002E32A2" w:rsidRPr="002E32A2" w:rsidTr="002E32A2">
        <w:trPr>
          <w:trHeight w:val="133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1 01 02010 01 0000 110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40 114,4</w:t>
            </w:r>
          </w:p>
        </w:tc>
      </w:tr>
      <w:tr w:rsidR="002E32A2" w:rsidRPr="002E32A2" w:rsidTr="002E32A2">
        <w:trPr>
          <w:trHeight w:val="189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1 01 02020 01 0000 110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98,9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1 01 02030 01 0000 110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36,0</w:t>
            </w:r>
          </w:p>
        </w:tc>
      </w:tr>
      <w:tr w:rsidR="002E32A2" w:rsidRPr="002E32A2" w:rsidTr="002E32A2">
        <w:trPr>
          <w:trHeight w:val="157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1 01 02040 01 0000 110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14,0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1 06 01030 10 0000 110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3 756,7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Земельный налог, взимаемый по ставкам, установленным в соответствии с пп.1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1 06 06013 10 0000 110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321,5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Земельный налог, взимаемый по ставкам, установленным в соответствии с пп.2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1 06 06023 10 0000 110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6 992,9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Земельный налог (по обязательствам, возникшим до 01.01.2006г.), мобилизуемый на территориях поселений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182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1 09 04053 10 0000 110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0,1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Администрация Вихоревского городского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22 523,2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1 11 05035 10 0000 120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15,4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эксплуатации имущества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1 13 02065 10 0000 130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216,6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1 13 02995 10 0000 130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60,9</w:t>
            </w:r>
          </w:p>
        </w:tc>
      </w:tr>
      <w:tr w:rsidR="002E32A2" w:rsidRPr="002E32A2" w:rsidTr="002E32A2">
        <w:trPr>
          <w:trHeight w:val="998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E32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2E32A2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1 16 23051 10 0000 140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0,0</w:t>
            </w:r>
          </w:p>
        </w:tc>
      </w:tr>
      <w:tr w:rsidR="002E32A2" w:rsidRPr="002E32A2" w:rsidTr="002E32A2">
        <w:trPr>
          <w:trHeight w:val="912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1 16 33050 10 0000 140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418,0</w:t>
            </w:r>
          </w:p>
        </w:tc>
      </w:tr>
      <w:tr w:rsidR="002E32A2" w:rsidRPr="002E32A2" w:rsidTr="002E32A2">
        <w:trPr>
          <w:trHeight w:val="1249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lastRenderedPageBreak/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1 16 37040 10 0000 140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628,0</w:t>
            </w:r>
          </w:p>
        </w:tc>
      </w:tr>
      <w:tr w:rsidR="002E32A2" w:rsidRPr="002E32A2" w:rsidTr="002E32A2">
        <w:trPr>
          <w:trHeight w:val="96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1 16 51040 02 0000 140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0,3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1 17 01050 10 0000 180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0,0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1 17 05050 10 0000 180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0,0</w:t>
            </w:r>
          </w:p>
        </w:tc>
      </w:tr>
      <w:tr w:rsidR="002E32A2" w:rsidRPr="002E32A2" w:rsidTr="002E32A2">
        <w:trPr>
          <w:trHeight w:val="623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Дотации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2 02 01001 10 0001 151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1 585,6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Дотации на выравнивание бюджетной обеспеченности поселений, образующих фонд финансовой поддержки поселений Братского района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2 02 01003 10 0000 151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0,0</w:t>
            </w:r>
          </w:p>
        </w:tc>
      </w:tr>
      <w:tr w:rsidR="002E32A2" w:rsidRPr="002E32A2" w:rsidTr="002E32A2">
        <w:trPr>
          <w:trHeight w:val="94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2 02 02079 10 0000 151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6 204,0</w:t>
            </w:r>
          </w:p>
        </w:tc>
      </w:tr>
      <w:tr w:rsidR="002E32A2" w:rsidRPr="002E32A2" w:rsidTr="002E32A2">
        <w:trPr>
          <w:trHeight w:val="126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Субсидия для реализации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2 02 02999 10 0001 151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4 829,2</w:t>
            </w:r>
          </w:p>
        </w:tc>
      </w:tr>
      <w:tr w:rsidR="002E32A2" w:rsidRPr="002E32A2" w:rsidTr="002E32A2">
        <w:trPr>
          <w:trHeight w:val="383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2 02 02999 10 0003 151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7 368,6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2 02 03015 10 0000 151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1 522,0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 xml:space="preserve">Субвенции бюджетам поселений на выполнение отдельных областных государственных полномочий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2 02 03024 10 0000 151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39,1</w:t>
            </w:r>
          </w:p>
        </w:tc>
      </w:tr>
      <w:tr w:rsidR="002E32A2" w:rsidRPr="002E32A2" w:rsidTr="002E32A2">
        <w:trPr>
          <w:trHeight w:val="63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2 07 05020 10 0000 180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20,0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2 07  05030 10 0000 180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30,0</w:t>
            </w:r>
          </w:p>
        </w:tc>
      </w:tr>
      <w:tr w:rsidR="002E32A2" w:rsidRPr="002E32A2" w:rsidTr="002E32A2">
        <w:trPr>
          <w:trHeight w:val="61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911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2 19  05000 10 0000 151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-414,5</w:t>
            </w:r>
          </w:p>
        </w:tc>
      </w:tr>
      <w:tr w:rsidR="002E32A2" w:rsidRPr="002E32A2" w:rsidTr="002E32A2">
        <w:trPr>
          <w:trHeight w:val="42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КУМИ МО "Братский район"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>4 127,1</w:t>
            </w:r>
          </w:p>
        </w:tc>
      </w:tr>
      <w:tr w:rsidR="002E32A2" w:rsidRPr="002E32A2" w:rsidTr="002E32A2">
        <w:trPr>
          <w:trHeight w:val="126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966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1 11 05013 10 0000 120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4 017,4</w:t>
            </w:r>
          </w:p>
        </w:tc>
      </w:tr>
      <w:tr w:rsidR="002E32A2" w:rsidRPr="002E32A2" w:rsidTr="002E32A2">
        <w:trPr>
          <w:trHeight w:val="705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966</w:t>
            </w: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1 14 06013 10 0000 430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109,7</w:t>
            </w:r>
          </w:p>
        </w:tc>
      </w:tr>
      <w:tr w:rsidR="002E32A2" w:rsidRPr="002E32A2" w:rsidTr="002E32A2">
        <w:trPr>
          <w:trHeight w:val="31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2A2" w:rsidRDefault="002E32A2" w:rsidP="00CF648F">
      <w:pPr>
        <w:suppressAutoHyphens/>
        <w:jc w:val="both"/>
      </w:pPr>
    </w:p>
    <w:tbl>
      <w:tblPr>
        <w:tblW w:w="5000" w:type="pct"/>
        <w:tblLook w:val="04A0"/>
      </w:tblPr>
      <w:tblGrid>
        <w:gridCol w:w="6867"/>
        <w:gridCol w:w="932"/>
        <w:gridCol w:w="998"/>
        <w:gridCol w:w="1482"/>
      </w:tblGrid>
      <w:tr w:rsidR="002E32A2" w:rsidRPr="002E32A2" w:rsidTr="002E32A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lastRenderedPageBreak/>
              <w:t>Приложение № 2</w:t>
            </w:r>
          </w:p>
        </w:tc>
      </w:tr>
      <w:tr w:rsidR="002E32A2" w:rsidRPr="002E32A2" w:rsidTr="002E32A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к решению Думы Вихоревского МО</w:t>
            </w:r>
          </w:p>
        </w:tc>
      </w:tr>
      <w:tr w:rsidR="002E32A2" w:rsidRPr="002E32A2" w:rsidTr="002E32A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от 13.04.2016 г. № 163</w:t>
            </w:r>
          </w:p>
        </w:tc>
      </w:tr>
      <w:tr w:rsidR="002E32A2" w:rsidRPr="002E32A2" w:rsidTr="002E32A2">
        <w:trPr>
          <w:trHeight w:val="30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E32A2" w:rsidRPr="002E32A2" w:rsidTr="002E32A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 xml:space="preserve">РАСХОДЫ БЮДЖЕТА ВИХОРЕВСКОГО ГОРОДСКОГО ПОСЕЛЕНИЯ ПО РАЗДЕЛАМ И ПОДРАЗДЕЛАМ </w:t>
            </w:r>
          </w:p>
        </w:tc>
      </w:tr>
      <w:tr w:rsidR="002E32A2" w:rsidRPr="002E32A2" w:rsidTr="002E32A2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КЛАССИФИКАЦИИ РАСХОДОВ БЮДЖЕТОВ ЗА 2014 ГОД</w:t>
            </w:r>
          </w:p>
        </w:tc>
      </w:tr>
      <w:tr w:rsidR="002E32A2" w:rsidRPr="002E32A2" w:rsidTr="002E32A2">
        <w:trPr>
          <w:trHeight w:val="255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2A2" w:rsidRPr="002E32A2" w:rsidTr="002E32A2">
        <w:trPr>
          <w:trHeight w:val="33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right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тыс. руб.</w:t>
            </w:r>
          </w:p>
        </w:tc>
      </w:tr>
      <w:tr w:rsidR="002E32A2" w:rsidRPr="002E32A2" w:rsidTr="002E32A2">
        <w:trPr>
          <w:trHeight w:val="645"/>
        </w:trPr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E32A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E32A2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 xml:space="preserve">Кассовое исполнение 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74 690,5</w:t>
            </w:r>
          </w:p>
        </w:tc>
      </w:tr>
      <w:tr w:rsidR="002E32A2" w:rsidRPr="002E32A2" w:rsidTr="002E32A2">
        <w:trPr>
          <w:trHeight w:val="39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21 492,0</w:t>
            </w:r>
          </w:p>
        </w:tc>
      </w:tr>
      <w:tr w:rsidR="002E32A2" w:rsidRPr="002E32A2" w:rsidTr="002E32A2">
        <w:trPr>
          <w:trHeight w:val="63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641,8</w:t>
            </w:r>
          </w:p>
        </w:tc>
      </w:tr>
      <w:tr w:rsidR="002E32A2" w:rsidRPr="002E32A2" w:rsidTr="002E32A2">
        <w:trPr>
          <w:trHeight w:val="623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1 954,7</w:t>
            </w:r>
          </w:p>
        </w:tc>
      </w:tr>
      <w:tr w:rsidR="002E32A2" w:rsidRPr="002E32A2" w:rsidTr="002E32A2">
        <w:trPr>
          <w:trHeight w:val="938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17 817,3</w:t>
            </w:r>
          </w:p>
        </w:tc>
      </w:tr>
      <w:tr w:rsidR="002E32A2" w:rsidRPr="002E32A2" w:rsidTr="002E32A2">
        <w:trPr>
          <w:trHeight w:val="649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105,9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831,8</w:t>
            </w:r>
          </w:p>
        </w:tc>
      </w:tr>
      <w:tr w:rsidR="002E32A2" w:rsidRPr="002E32A2" w:rsidTr="002E32A2">
        <w:trPr>
          <w:trHeight w:val="30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0,0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140,5</w:t>
            </w:r>
          </w:p>
        </w:tc>
      </w:tr>
      <w:tr w:rsidR="002E32A2" w:rsidRPr="002E32A2" w:rsidTr="002E32A2">
        <w:trPr>
          <w:trHeight w:val="40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1 522,0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1 522,0</w:t>
            </w:r>
          </w:p>
        </w:tc>
      </w:tr>
      <w:tr w:rsidR="002E32A2" w:rsidRPr="002E32A2" w:rsidTr="002E32A2">
        <w:trPr>
          <w:trHeight w:val="60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612,5</w:t>
            </w:r>
          </w:p>
        </w:tc>
      </w:tr>
      <w:tr w:rsidR="002E32A2" w:rsidRPr="002E32A2" w:rsidTr="002E32A2">
        <w:trPr>
          <w:trHeight w:val="63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612,5</w:t>
            </w:r>
          </w:p>
        </w:tc>
      </w:tr>
      <w:tr w:rsidR="002E32A2" w:rsidRPr="002E32A2" w:rsidTr="002E32A2">
        <w:trPr>
          <w:trHeight w:val="40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8 292,1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38,4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Транспорт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3 775,9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4 226,2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251,6</w:t>
            </w:r>
          </w:p>
        </w:tc>
      </w:tr>
      <w:tr w:rsidR="002E32A2" w:rsidRPr="002E32A2" w:rsidTr="002E32A2">
        <w:trPr>
          <w:trHeight w:val="39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39 595,3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9 429,4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6 458,1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23 707,8</w:t>
            </w:r>
          </w:p>
        </w:tc>
      </w:tr>
      <w:tr w:rsidR="002E32A2" w:rsidRPr="002E32A2" w:rsidTr="002E32A2">
        <w:trPr>
          <w:trHeight w:val="37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2 044,3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2 044,3</w:t>
            </w:r>
          </w:p>
        </w:tc>
      </w:tr>
      <w:tr w:rsidR="002E32A2" w:rsidRPr="002E32A2" w:rsidTr="002E32A2">
        <w:trPr>
          <w:trHeight w:val="39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452,4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420,4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32,0</w:t>
            </w:r>
          </w:p>
        </w:tc>
      </w:tr>
      <w:tr w:rsidR="002E32A2" w:rsidRPr="002E32A2" w:rsidTr="002E32A2">
        <w:trPr>
          <w:trHeight w:val="36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679,9</w:t>
            </w:r>
          </w:p>
        </w:tc>
      </w:tr>
      <w:tr w:rsidR="002E32A2" w:rsidRPr="002E32A2" w:rsidTr="002E32A2">
        <w:trPr>
          <w:trHeight w:val="31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679,9</w:t>
            </w:r>
          </w:p>
        </w:tc>
      </w:tr>
      <w:tr w:rsidR="002E32A2" w:rsidRPr="002E32A2" w:rsidTr="002E32A2">
        <w:trPr>
          <w:trHeight w:val="705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</w:t>
            </w:r>
            <w:r w:rsidRPr="002E32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E32A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E32A2" w:rsidRPr="002E32A2" w:rsidTr="002E32A2">
        <w:trPr>
          <w:trHeight w:val="330"/>
        </w:trPr>
        <w:tc>
          <w:tcPr>
            <w:tcW w:w="33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2E32A2" w:rsidRDefault="002E32A2" w:rsidP="002E32A2">
            <w:pPr>
              <w:jc w:val="center"/>
              <w:rPr>
                <w:sz w:val="24"/>
                <w:szCs w:val="24"/>
              </w:rPr>
            </w:pPr>
            <w:r w:rsidRPr="002E32A2">
              <w:rPr>
                <w:sz w:val="24"/>
                <w:szCs w:val="24"/>
              </w:rPr>
              <w:t>0,0</w:t>
            </w:r>
          </w:p>
        </w:tc>
      </w:tr>
    </w:tbl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2E32A2" w:rsidRDefault="002E32A2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tbl>
      <w:tblPr>
        <w:tblW w:w="5086" w:type="pct"/>
        <w:tblLayout w:type="fixed"/>
        <w:tblLook w:val="04A0"/>
      </w:tblPr>
      <w:tblGrid>
        <w:gridCol w:w="5070"/>
        <w:gridCol w:w="690"/>
        <w:gridCol w:w="161"/>
        <w:gridCol w:w="951"/>
        <w:gridCol w:w="182"/>
        <w:gridCol w:w="489"/>
        <w:gridCol w:w="220"/>
        <w:gridCol w:w="479"/>
        <w:gridCol w:w="621"/>
        <w:gridCol w:w="1593"/>
      </w:tblGrid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Default="002E32A2" w:rsidP="002E32A2">
            <w:pPr>
              <w:rPr>
                <w:sz w:val="20"/>
                <w:szCs w:val="20"/>
              </w:rPr>
            </w:pPr>
            <w:bookmarkStart w:id="1" w:name="RANGE!A1:G146"/>
            <w:bookmarkEnd w:id="1"/>
          </w:p>
          <w:p w:rsidR="00A14CEE" w:rsidRPr="002E32A2" w:rsidRDefault="00A14CEE" w:rsidP="002E32A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Default="00A14CEE" w:rsidP="002E32A2">
            <w:pPr>
              <w:jc w:val="right"/>
              <w:rPr>
                <w:sz w:val="20"/>
                <w:szCs w:val="20"/>
              </w:rPr>
            </w:pPr>
          </w:p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  <w:r w:rsidRPr="002E32A2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  <w:r w:rsidRPr="002E32A2"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2E32A2" w:rsidRPr="002E32A2" w:rsidTr="00593FC6">
        <w:trPr>
          <w:trHeight w:val="30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2"/>
                <w:szCs w:val="22"/>
              </w:rPr>
            </w:pPr>
            <w:r w:rsidRPr="002E32A2">
              <w:rPr>
                <w:sz w:val="22"/>
                <w:szCs w:val="22"/>
              </w:rPr>
              <w:t>от 13.04.2016 г. № 163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</w:tr>
      <w:tr w:rsidR="002E32A2" w:rsidRPr="002E32A2" w:rsidTr="00593FC6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 xml:space="preserve">РАСХОДЫ БЮДЖЕТА ВИХОРЕВСКОГО ГОРОДСКОГО ПОСЕЛЕНИЯ ПО </w:t>
            </w:r>
            <w:proofErr w:type="gramStart"/>
            <w:r w:rsidRPr="002E32A2">
              <w:rPr>
                <w:b/>
                <w:bCs/>
                <w:sz w:val="22"/>
                <w:szCs w:val="22"/>
              </w:rPr>
              <w:t>ВЕДОМСТВЕННОЙ</w:t>
            </w:r>
            <w:proofErr w:type="gramEnd"/>
          </w:p>
        </w:tc>
      </w:tr>
      <w:tr w:rsidR="002E32A2" w:rsidRPr="002E32A2" w:rsidTr="00593FC6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2A2">
              <w:rPr>
                <w:b/>
                <w:bCs/>
                <w:sz w:val="22"/>
                <w:szCs w:val="22"/>
              </w:rPr>
              <w:t xml:space="preserve"> СТРУКТУРЕ РАСХОДОВ БЮДЖЕТА ВИХОРЕВСКОГО ГОРОДСКОГО ПОСЕЛЕНИЯ ЗА 2014 ГОД</w:t>
            </w:r>
          </w:p>
        </w:tc>
      </w:tr>
      <w:tr w:rsidR="002E32A2" w:rsidRPr="002E32A2" w:rsidTr="00593FC6">
        <w:trPr>
          <w:trHeight w:val="28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right"/>
              <w:rPr>
                <w:sz w:val="20"/>
                <w:szCs w:val="20"/>
              </w:rPr>
            </w:pPr>
            <w:r w:rsidRPr="002E32A2">
              <w:rPr>
                <w:sz w:val="20"/>
                <w:szCs w:val="20"/>
              </w:rPr>
              <w:t>(тыс</w:t>
            </w:r>
            <w:proofErr w:type="gramStart"/>
            <w:r w:rsidRPr="002E32A2">
              <w:rPr>
                <w:sz w:val="20"/>
                <w:szCs w:val="20"/>
              </w:rPr>
              <w:t>.р</w:t>
            </w:r>
            <w:proofErr w:type="gramEnd"/>
            <w:r w:rsidRPr="002E32A2">
              <w:rPr>
                <w:sz w:val="20"/>
                <w:szCs w:val="20"/>
              </w:rPr>
              <w:t>уб.)</w:t>
            </w:r>
          </w:p>
        </w:tc>
      </w:tr>
      <w:tr w:rsidR="002E32A2" w:rsidRPr="002E32A2" w:rsidTr="00593FC6">
        <w:trPr>
          <w:trHeight w:val="612"/>
        </w:trPr>
        <w:tc>
          <w:tcPr>
            <w:tcW w:w="2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14CE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14CE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2E32A2" w:rsidRPr="002E32A2" w:rsidTr="00593FC6">
        <w:trPr>
          <w:trHeight w:val="28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14CEE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14CEE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90.0.00.00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28 144,8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90.1.00.00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641,8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90.1.00.00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641,8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90.1.00.00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641,8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муниципальных образований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90.2.00.00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1 954,7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90.2.01.00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906,5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906,5</w:t>
            </w:r>
          </w:p>
        </w:tc>
      </w:tr>
      <w:tr w:rsidR="002E32A2" w:rsidRPr="002E32A2" w:rsidTr="00593FC6">
        <w:trPr>
          <w:trHeight w:val="612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906,5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Аппарат представительного органа муниципальных образований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996,7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774,3</w:t>
            </w:r>
          </w:p>
        </w:tc>
      </w:tr>
      <w:tr w:rsidR="002E32A2" w:rsidRPr="002E32A2" w:rsidTr="00593FC6">
        <w:trPr>
          <w:trHeight w:val="612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774,3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222,3</w:t>
            </w:r>
          </w:p>
        </w:tc>
      </w:tr>
      <w:tr w:rsidR="002E32A2" w:rsidRPr="002E32A2" w:rsidTr="00593FC6">
        <w:trPr>
          <w:trHeight w:val="672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222,3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0,1</w:t>
            </w:r>
          </w:p>
        </w:tc>
      </w:tr>
      <w:tr w:rsidR="002E32A2" w:rsidRPr="002E32A2" w:rsidTr="00593FC6">
        <w:trPr>
          <w:trHeight w:val="612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14CEE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0,1</w:t>
            </w:r>
          </w:p>
        </w:tc>
      </w:tr>
      <w:tr w:rsidR="002E32A2" w:rsidRPr="002E32A2" w:rsidTr="00A14CEE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90.2.03.00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51,5</w:t>
            </w:r>
          </w:p>
        </w:tc>
      </w:tr>
      <w:tr w:rsidR="002E32A2" w:rsidRPr="002E32A2" w:rsidTr="00A14CEE">
        <w:trPr>
          <w:trHeight w:val="76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90.2.03.00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51,5</w:t>
            </w:r>
          </w:p>
        </w:tc>
      </w:tr>
      <w:tr w:rsidR="002E32A2" w:rsidRPr="002E32A2" w:rsidTr="00593FC6">
        <w:trPr>
          <w:trHeight w:val="638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90.2.03.00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51,5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Аппарат исполнительного органа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17 817,3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13 952,2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13 952,2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3 637,9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3 637,9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227,2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90.3.00.00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227,2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90.4.00.00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90.4.00.00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90.4.00.00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90.4.00.00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32,0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90.4.00.00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32,0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90.5.00.00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140,5</w:t>
            </w:r>
          </w:p>
        </w:tc>
      </w:tr>
      <w:tr w:rsidR="002E32A2" w:rsidRPr="002E32A2" w:rsidTr="00593FC6">
        <w:trPr>
          <w:trHeight w:val="108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90.5.01.00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95,9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95,9</w:t>
            </w:r>
          </w:p>
        </w:tc>
      </w:tr>
      <w:tr w:rsidR="002E32A2" w:rsidRPr="002E32A2" w:rsidTr="00593FC6">
        <w:trPr>
          <w:trHeight w:val="30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90.5.01.0</w:t>
            </w:r>
            <w:r w:rsidRPr="00A14CE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95,8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90.5.02.00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43,9</w:t>
            </w:r>
          </w:p>
        </w:tc>
      </w:tr>
      <w:tr w:rsidR="002E32A2" w:rsidRPr="002E32A2" w:rsidTr="00593FC6">
        <w:trPr>
          <w:trHeight w:val="300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43,9</w:t>
            </w:r>
          </w:p>
        </w:tc>
      </w:tr>
      <w:tr w:rsidR="002E32A2" w:rsidRPr="002E32A2" w:rsidTr="00593FC6">
        <w:trPr>
          <w:trHeight w:val="30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43,9</w:t>
            </w:r>
          </w:p>
        </w:tc>
      </w:tr>
      <w:tr w:rsidR="002E32A2" w:rsidRPr="002E32A2" w:rsidTr="00593FC6">
        <w:trPr>
          <w:trHeight w:val="135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90.5.06.00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90.5.06.00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90.5.06.00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0,7</w:t>
            </w:r>
          </w:p>
        </w:tc>
      </w:tr>
      <w:tr w:rsidR="002E32A2" w:rsidRPr="002E32A2" w:rsidTr="00A14CEE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90.6.51.18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1 522,0</w:t>
            </w:r>
          </w:p>
        </w:tc>
      </w:tr>
      <w:tr w:rsidR="002E32A2" w:rsidRPr="002E32A2" w:rsidTr="00A14CEE">
        <w:trPr>
          <w:trHeight w:val="76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90.6.51.18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1 480,9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90.6.51.18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1 480,9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90.6.51.18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41,1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90.6.51.18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41,1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90.7.00.00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612,5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90.7.00.00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612,5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90.7.00.00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612,5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90.8.01.02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38,4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90.8.01.02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36,6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90.8.01.02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36,6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90.8.01.02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90.8.01.02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1,8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 xml:space="preserve">Субсидии в целях возмещения недополученных доходов, связанных с оказанием услуг по </w:t>
            </w:r>
            <w:r w:rsidRPr="00A14CEE">
              <w:rPr>
                <w:b/>
                <w:bCs/>
                <w:sz w:val="22"/>
                <w:szCs w:val="22"/>
              </w:rPr>
              <w:lastRenderedPageBreak/>
              <w:t>пассажирским перевозкам автомобильным транспортом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lastRenderedPageBreak/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4CE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3 775,9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3 775,9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Транспорт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3 775,9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90.Б.00.00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251,6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90.Б.00.00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251,6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90.Б.00.00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251,6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90.Г.00.00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420,4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90.Г.00.00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420,4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90.Г.00.00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420,4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90.Д.00.00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90.Д.00.00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90.Д.00.00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Обеспечение проведения выборов Главы Вихоревского муниципального образования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90.Ж.00.00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831,8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90.Ж.00.00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831,8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90.Ж.00.00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831,8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Обеспечение деятельности контрольно-счетного органа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90.И.00.00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90.И.00.00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105,9</w:t>
            </w:r>
          </w:p>
        </w:tc>
      </w:tr>
      <w:tr w:rsidR="002E32A2" w:rsidRPr="002E32A2" w:rsidTr="00A14CEE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90.И.00.00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105,9</w:t>
            </w:r>
          </w:p>
        </w:tc>
      </w:tr>
      <w:tr w:rsidR="002E32A2" w:rsidRPr="002E32A2" w:rsidTr="00A14CEE">
        <w:trPr>
          <w:trHeight w:val="25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79.0.00.00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46 545,7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79.5.00.00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4 226,2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79.5.00.00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4 226,2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79.5.00.00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4 226,2</w:t>
            </w:r>
          </w:p>
        </w:tc>
      </w:tr>
      <w:tr w:rsidR="002E32A2" w:rsidRPr="002E32A2" w:rsidTr="00593FC6">
        <w:trPr>
          <w:trHeight w:val="60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жилищно-коммунального хозяйства и инфраструктуры» на 2014-2018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79.6.00.00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34 242,2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79.6.01.00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6 113,9</w:t>
            </w:r>
          </w:p>
        </w:tc>
      </w:tr>
      <w:tr w:rsidR="002E32A2" w:rsidRPr="002E32A2" w:rsidTr="00593FC6">
        <w:trPr>
          <w:trHeight w:val="102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Строительство объектов коммунальной инфраструктуры с подготовкой проектно-сметной документации. Модернизация, реконструкция тепловых сетей, котельной. Подготовка объектов коммунальной инфраструктуры к отопительному сезону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79.6.01.01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985,3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335,8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335,8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649,5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649,5</w:t>
            </w:r>
          </w:p>
        </w:tc>
      </w:tr>
      <w:tr w:rsidR="002E32A2" w:rsidRPr="002E32A2" w:rsidTr="00593FC6">
        <w:trPr>
          <w:trHeight w:val="102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4 829,2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4 829,2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4 829,2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Модернизация, реконструкция, капитальный ремонт уличных водоразборных колонок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299,4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299,4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79.6.01.03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299,4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2014-2018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79.6.02.00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79.6.02.00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0,0</w:t>
            </w:r>
          </w:p>
        </w:tc>
      </w:tr>
      <w:tr w:rsidR="002E32A2" w:rsidRPr="002E32A2" w:rsidTr="00593FC6">
        <w:trPr>
          <w:trHeight w:val="54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Вихоревского городского поселения»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79.6.03.00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344,2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79.6.03.00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344,2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79.6.03.00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344,2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Подпрограмма «Содержание и ремонт объектов жилищного фонда»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79.6.04.00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4 076,3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79.6.04.00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4 076,3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79.6.04.00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4 076,3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79.6.05.00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23 707,8</w:t>
            </w:r>
          </w:p>
        </w:tc>
      </w:tr>
      <w:tr w:rsidR="002E32A2" w:rsidRPr="002E32A2" w:rsidTr="00A14CEE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Освещение территории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5 464,7</w:t>
            </w:r>
          </w:p>
        </w:tc>
      </w:tr>
      <w:tr w:rsidR="002E32A2" w:rsidRPr="002E32A2" w:rsidTr="00A14CEE">
        <w:trPr>
          <w:trHeight w:val="25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5 464,7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5 464,7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 xml:space="preserve">Содержание дорог Вихоревского городского </w:t>
            </w:r>
            <w:r w:rsidRPr="00A14CEE">
              <w:rPr>
                <w:i/>
                <w:i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lastRenderedPageBreak/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</w:t>
            </w:r>
            <w:r w:rsidRPr="00A14CEE">
              <w:rPr>
                <w:i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6 842,9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6 842,9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6 842,9</w:t>
            </w:r>
          </w:p>
        </w:tc>
      </w:tr>
      <w:tr w:rsidR="002E32A2" w:rsidRPr="002E32A2" w:rsidTr="00593FC6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Озеленение территории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4C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418,7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418,7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418,7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14CEE">
              <w:rPr>
                <w:i/>
                <w:iCs/>
                <w:sz w:val="22"/>
                <w:szCs w:val="22"/>
              </w:rPr>
              <w:t>C</w:t>
            </w:r>
            <w:proofErr w:type="gramEnd"/>
            <w:r w:rsidRPr="00A14CEE">
              <w:rPr>
                <w:i/>
                <w:iCs/>
                <w:sz w:val="22"/>
                <w:szCs w:val="22"/>
              </w:rPr>
              <w:t>одержание</w:t>
            </w:r>
            <w:proofErr w:type="spellEnd"/>
            <w:r w:rsidRPr="00A14CEE">
              <w:rPr>
                <w:i/>
                <w:iCs/>
                <w:sz w:val="22"/>
                <w:szCs w:val="22"/>
              </w:rPr>
              <w:t xml:space="preserve"> территории кладбища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173,5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173,5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173,5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Содержание территории Вихоревского городского поселения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3 051,5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3 051,5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3 051,5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Реализация мероприятий перечня народных инициатив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79.6.05.06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i/>
                <w:iCs/>
                <w:sz w:val="22"/>
                <w:szCs w:val="22"/>
              </w:rPr>
            </w:pPr>
            <w:r w:rsidRPr="00A14C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7 756,5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2 007,0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2 007,0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5 749,5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79.6.05.06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5 749,5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«Переселение граждан из ветхого и аварийного жилищного фонда </w:t>
            </w:r>
            <w:proofErr w:type="gramStart"/>
            <w:r w:rsidRPr="00A14CE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14CEE">
              <w:rPr>
                <w:b/>
                <w:bCs/>
                <w:sz w:val="22"/>
                <w:szCs w:val="22"/>
              </w:rPr>
              <w:t>. Вихоревка» на 2014-2020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79.7.00.00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5 353,1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 xml:space="preserve">Обеспечение жильём граждан, проживающих в домах, признанных непригодными для постоянного проживания.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4 242,6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4 242,6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79.7.01.00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4 242,6</w:t>
            </w:r>
          </w:p>
        </w:tc>
      </w:tr>
      <w:tr w:rsidR="002E32A2" w:rsidRPr="002E32A2" w:rsidTr="00593FC6">
        <w:trPr>
          <w:trHeight w:val="76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 xml:space="preserve">Муниципальная программа Вихоревского городского поселения «Переселение граждан из ветхого и аварийного жилищного фонда в </w:t>
            </w:r>
            <w:proofErr w:type="gramStart"/>
            <w:r w:rsidRPr="00A14CEE">
              <w:rPr>
                <w:sz w:val="22"/>
                <w:szCs w:val="22"/>
              </w:rPr>
              <w:t>г</w:t>
            </w:r>
            <w:proofErr w:type="gramEnd"/>
            <w:r w:rsidRPr="00A14CEE">
              <w:rPr>
                <w:sz w:val="22"/>
                <w:szCs w:val="22"/>
              </w:rPr>
              <w:t>. Вихоревка» на 2014-2020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79.7.02.01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1 110,5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79.7.02.01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1 110,5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79.7.02.01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400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1 110,5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культуры» на 2014-2016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79.8.00.00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2 044,3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79.8.00.00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2 044,3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79.8.00.00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2 044,3</w:t>
            </w:r>
          </w:p>
        </w:tc>
      </w:tr>
      <w:tr w:rsidR="002E32A2" w:rsidRPr="002E32A2" w:rsidTr="00593FC6">
        <w:trPr>
          <w:trHeight w:val="51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физической культуры и спорта» на 2014-2016 годы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79.9.00.00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679,9</w:t>
            </w:r>
          </w:p>
        </w:tc>
      </w:tr>
      <w:tr w:rsidR="002E32A2" w:rsidRPr="002E32A2" w:rsidTr="00593FC6">
        <w:trPr>
          <w:trHeight w:val="255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679,9</w:t>
            </w:r>
          </w:p>
        </w:tc>
      </w:tr>
      <w:tr w:rsidR="002E32A2" w:rsidRPr="002E32A2" w:rsidTr="00A14CEE">
        <w:trPr>
          <w:trHeight w:val="270"/>
        </w:trPr>
        <w:tc>
          <w:tcPr>
            <w:tcW w:w="2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911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79.9.00.00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A2" w:rsidRPr="00A14CEE" w:rsidRDefault="002E32A2" w:rsidP="002E32A2">
            <w:pPr>
              <w:jc w:val="center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sz w:val="22"/>
                <w:szCs w:val="22"/>
              </w:rPr>
            </w:pPr>
            <w:r w:rsidRPr="00A14CEE">
              <w:rPr>
                <w:sz w:val="22"/>
                <w:szCs w:val="22"/>
              </w:rPr>
              <w:t>679,9</w:t>
            </w:r>
          </w:p>
        </w:tc>
      </w:tr>
      <w:tr w:rsidR="002E32A2" w:rsidRPr="002E32A2" w:rsidTr="00A14CEE">
        <w:trPr>
          <w:trHeight w:val="330"/>
        </w:trPr>
        <w:tc>
          <w:tcPr>
            <w:tcW w:w="2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2A2" w:rsidRPr="00A14CEE" w:rsidRDefault="002E32A2" w:rsidP="002E32A2">
            <w:pPr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32A2" w:rsidRPr="00A14CEE" w:rsidRDefault="002E32A2" w:rsidP="002E32A2">
            <w:pPr>
              <w:jc w:val="right"/>
              <w:rPr>
                <w:b/>
                <w:bCs/>
                <w:sz w:val="22"/>
                <w:szCs w:val="22"/>
              </w:rPr>
            </w:pPr>
            <w:r w:rsidRPr="00A14CEE">
              <w:rPr>
                <w:b/>
                <w:bCs/>
                <w:sz w:val="22"/>
                <w:szCs w:val="22"/>
              </w:rPr>
              <w:t>74 690,5</w:t>
            </w:r>
          </w:p>
        </w:tc>
      </w:tr>
      <w:tr w:rsidR="002E32A2" w:rsidRPr="002E32A2" w:rsidTr="00A14CEE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A2" w:rsidRPr="002E32A2" w:rsidRDefault="002E32A2" w:rsidP="002E32A2">
            <w:pPr>
              <w:rPr>
                <w:sz w:val="20"/>
                <w:szCs w:val="20"/>
              </w:rPr>
            </w:pPr>
          </w:p>
        </w:tc>
      </w:tr>
    </w:tbl>
    <w:p w:rsidR="002E32A2" w:rsidRDefault="002E32A2" w:rsidP="00CF648F">
      <w:pPr>
        <w:suppressAutoHyphens/>
        <w:jc w:val="both"/>
      </w:pPr>
    </w:p>
    <w:p w:rsidR="00593FC6" w:rsidRDefault="00593FC6" w:rsidP="00CF648F">
      <w:pPr>
        <w:suppressAutoHyphens/>
        <w:jc w:val="both"/>
      </w:pPr>
    </w:p>
    <w:tbl>
      <w:tblPr>
        <w:tblW w:w="5000" w:type="pct"/>
        <w:tblLook w:val="04A0"/>
      </w:tblPr>
      <w:tblGrid>
        <w:gridCol w:w="5300"/>
        <w:gridCol w:w="3308"/>
        <w:gridCol w:w="1671"/>
      </w:tblGrid>
      <w:tr w:rsidR="00593FC6" w:rsidRPr="00593FC6" w:rsidTr="00593FC6">
        <w:trPr>
          <w:trHeight w:val="300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Default="00593FC6" w:rsidP="00593FC6">
            <w:pPr>
              <w:jc w:val="right"/>
              <w:rPr>
                <w:sz w:val="22"/>
                <w:szCs w:val="22"/>
              </w:rPr>
            </w:pPr>
            <w:r w:rsidRPr="00593FC6">
              <w:rPr>
                <w:sz w:val="22"/>
                <w:szCs w:val="22"/>
              </w:rPr>
              <w:t xml:space="preserve">                                </w:t>
            </w: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A14CEE" w:rsidRDefault="00A14CEE" w:rsidP="00593FC6">
            <w:pPr>
              <w:jc w:val="right"/>
              <w:rPr>
                <w:sz w:val="22"/>
                <w:szCs w:val="22"/>
              </w:rPr>
            </w:pPr>
          </w:p>
          <w:p w:rsidR="00593FC6" w:rsidRPr="00593FC6" w:rsidRDefault="00593FC6" w:rsidP="00593FC6">
            <w:pPr>
              <w:jc w:val="right"/>
              <w:rPr>
                <w:sz w:val="22"/>
                <w:szCs w:val="22"/>
              </w:rPr>
            </w:pPr>
            <w:r w:rsidRPr="00593FC6">
              <w:rPr>
                <w:sz w:val="22"/>
                <w:szCs w:val="22"/>
              </w:rPr>
              <w:lastRenderedPageBreak/>
              <w:t xml:space="preserve">               Приложение № 4</w:t>
            </w:r>
          </w:p>
        </w:tc>
      </w:tr>
      <w:tr w:rsidR="00593FC6" w:rsidRPr="00593FC6" w:rsidTr="00593FC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C6" w:rsidRPr="00593FC6" w:rsidRDefault="00593FC6" w:rsidP="00593FC6">
            <w:pPr>
              <w:jc w:val="right"/>
              <w:rPr>
                <w:sz w:val="22"/>
                <w:szCs w:val="22"/>
              </w:rPr>
            </w:pPr>
            <w:r w:rsidRPr="00593FC6">
              <w:rPr>
                <w:sz w:val="22"/>
                <w:szCs w:val="22"/>
              </w:rPr>
              <w:lastRenderedPageBreak/>
              <w:t>к решению Думы Вихоревского МО</w:t>
            </w:r>
          </w:p>
        </w:tc>
      </w:tr>
      <w:tr w:rsidR="00593FC6" w:rsidRPr="00593FC6" w:rsidTr="00593FC6">
        <w:trPr>
          <w:trHeight w:val="300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C6" w:rsidRPr="00593FC6" w:rsidRDefault="00593FC6" w:rsidP="00593F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C6" w:rsidRPr="00593FC6" w:rsidRDefault="00593FC6" w:rsidP="00593FC6">
            <w:pPr>
              <w:jc w:val="right"/>
              <w:rPr>
                <w:sz w:val="22"/>
                <w:szCs w:val="22"/>
              </w:rPr>
            </w:pPr>
            <w:r w:rsidRPr="00593FC6">
              <w:rPr>
                <w:sz w:val="22"/>
                <w:szCs w:val="22"/>
              </w:rPr>
              <w:t xml:space="preserve">от 13.04.2016 </w:t>
            </w:r>
            <w:proofErr w:type="spellStart"/>
            <w:r w:rsidRPr="00593FC6">
              <w:rPr>
                <w:sz w:val="22"/>
                <w:szCs w:val="22"/>
              </w:rPr>
              <w:t>г.№</w:t>
            </w:r>
            <w:proofErr w:type="spellEnd"/>
            <w:r w:rsidRPr="00593FC6">
              <w:rPr>
                <w:sz w:val="22"/>
                <w:szCs w:val="22"/>
              </w:rPr>
              <w:t xml:space="preserve"> 163</w:t>
            </w:r>
          </w:p>
        </w:tc>
      </w:tr>
      <w:tr w:rsidR="00593FC6" w:rsidRPr="00593FC6" w:rsidTr="00593FC6">
        <w:trPr>
          <w:trHeight w:val="31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</w:tr>
      <w:tr w:rsidR="00593FC6" w:rsidRPr="00593FC6" w:rsidTr="00593FC6">
        <w:trPr>
          <w:trHeight w:val="12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ВИХОРЕВСКОГО ГОРОДСКОГО ПОСЕЛЕНИЯ ПО КОДАМ </w:t>
            </w:r>
            <w:proofErr w:type="gramStart"/>
            <w:r w:rsidRPr="00593FC6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593FC6">
              <w:rPr>
                <w:b/>
                <w:bCs/>
                <w:sz w:val="24"/>
                <w:szCs w:val="24"/>
              </w:rPr>
              <w:t xml:space="preserve"> ЗА 2014 ГОД</w:t>
            </w:r>
          </w:p>
        </w:tc>
      </w:tr>
      <w:tr w:rsidR="00593FC6" w:rsidRPr="00593FC6" w:rsidTr="00593FC6">
        <w:trPr>
          <w:trHeight w:val="330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right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тыс. руб.</w:t>
            </w:r>
          </w:p>
        </w:tc>
      </w:tr>
      <w:tr w:rsidR="00593FC6" w:rsidRPr="00593FC6" w:rsidTr="00593FC6">
        <w:trPr>
          <w:trHeight w:val="645"/>
        </w:trPr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 xml:space="preserve">911 01 00 </w:t>
            </w:r>
            <w:proofErr w:type="spellStart"/>
            <w:r w:rsidRPr="00593FC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93F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93F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93FC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FC6">
              <w:rPr>
                <w:b/>
                <w:bCs/>
                <w:sz w:val="24"/>
                <w:szCs w:val="24"/>
              </w:rPr>
              <w:t>-5 337,9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911 01 06 00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10 0000 000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0,0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911 01 06 05 00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0,0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Предоставление бюджетных кредитов юридическим лицам из бюджетов поселений в валюте РФ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911 01 06 05 01 10 0000 540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0,0</w:t>
            </w:r>
          </w:p>
        </w:tc>
      </w:tr>
      <w:tr w:rsidR="00593FC6" w:rsidRPr="00593FC6" w:rsidTr="00593FC6">
        <w:trPr>
          <w:trHeight w:val="94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РФ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911 01 06 05 01 10 0000 640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0,0</w:t>
            </w:r>
          </w:p>
        </w:tc>
      </w:tr>
      <w:tr w:rsidR="00593FC6" w:rsidRPr="00593FC6" w:rsidTr="00593FC6">
        <w:trPr>
          <w:trHeight w:val="31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-5 337,9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911 01 05 00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i/>
                <w:iCs/>
                <w:sz w:val="24"/>
                <w:szCs w:val="24"/>
              </w:rPr>
            </w:pPr>
            <w:r w:rsidRPr="00593FC6">
              <w:rPr>
                <w:i/>
                <w:iCs/>
                <w:sz w:val="24"/>
                <w:szCs w:val="24"/>
              </w:rPr>
              <w:t>-5 337,9</w:t>
            </w:r>
          </w:p>
        </w:tc>
      </w:tr>
      <w:tr w:rsidR="00593FC6" w:rsidRPr="00593FC6" w:rsidTr="00593FC6">
        <w:trPr>
          <w:trHeight w:val="31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Увеличение  прочих остатков  средств бюджетов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911 01 05 02 00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i/>
                <w:iCs/>
                <w:sz w:val="24"/>
                <w:szCs w:val="24"/>
              </w:rPr>
            </w:pPr>
            <w:r w:rsidRPr="00593FC6">
              <w:rPr>
                <w:i/>
                <w:iCs/>
                <w:sz w:val="24"/>
                <w:szCs w:val="24"/>
              </w:rPr>
              <w:t>-83 343,1</w:t>
            </w:r>
          </w:p>
        </w:tc>
      </w:tr>
      <w:tr w:rsidR="00593FC6" w:rsidRPr="00593FC6" w:rsidTr="00593FC6">
        <w:trPr>
          <w:trHeight w:val="630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911 01 05 02 01 10 0000 510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-83 343,1</w:t>
            </w:r>
          </w:p>
        </w:tc>
      </w:tr>
      <w:tr w:rsidR="00593FC6" w:rsidRPr="00593FC6" w:rsidTr="00593FC6">
        <w:trPr>
          <w:trHeight w:val="31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 xml:space="preserve">911 01 05 00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</w:t>
            </w:r>
            <w:proofErr w:type="spellStart"/>
            <w:r w:rsidRPr="00593FC6">
              <w:rPr>
                <w:sz w:val="24"/>
                <w:szCs w:val="24"/>
              </w:rPr>
              <w:t>00</w:t>
            </w:r>
            <w:proofErr w:type="spellEnd"/>
            <w:r w:rsidRPr="00593FC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78 005,2</w:t>
            </w:r>
          </w:p>
        </w:tc>
      </w:tr>
      <w:tr w:rsidR="00593FC6" w:rsidRPr="00593FC6" w:rsidTr="00593FC6">
        <w:trPr>
          <w:trHeight w:val="645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911 01 05 02 01 10 0000 610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  <w:r w:rsidRPr="00593FC6">
              <w:rPr>
                <w:sz w:val="24"/>
                <w:szCs w:val="24"/>
              </w:rPr>
              <w:t>78 005,2</w:t>
            </w:r>
          </w:p>
        </w:tc>
      </w:tr>
      <w:tr w:rsidR="00593FC6" w:rsidRPr="00593FC6" w:rsidTr="00593FC6">
        <w:trPr>
          <w:trHeight w:val="31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FC6" w:rsidRPr="00593FC6" w:rsidRDefault="00593FC6" w:rsidP="00593F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93FC6" w:rsidRDefault="00593FC6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A14CEE">
      <w:pPr>
        <w:ind w:firstLine="73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A14CEE" w:rsidRPr="00615EFB" w:rsidRDefault="00A14CEE" w:rsidP="00A14CEE">
      <w:pPr>
        <w:ind w:firstLine="68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Вихоревского МО </w:t>
      </w:r>
    </w:p>
    <w:p w:rsidR="00A14CEE" w:rsidRPr="00615EFB" w:rsidRDefault="00A14CEE" w:rsidP="00A14CEE">
      <w:pPr>
        <w:ind w:firstLine="7380"/>
        <w:jc w:val="right"/>
        <w:rPr>
          <w:sz w:val="26"/>
          <w:szCs w:val="26"/>
        </w:rPr>
      </w:pPr>
      <w:r w:rsidRPr="00615EFB">
        <w:rPr>
          <w:sz w:val="26"/>
          <w:szCs w:val="26"/>
        </w:rPr>
        <w:t xml:space="preserve">от </w:t>
      </w:r>
      <w:r>
        <w:rPr>
          <w:sz w:val="26"/>
          <w:szCs w:val="26"/>
        </w:rPr>
        <w:t>13.04.</w:t>
      </w:r>
      <w:r w:rsidRPr="00615EFB">
        <w:rPr>
          <w:sz w:val="26"/>
          <w:szCs w:val="26"/>
        </w:rPr>
        <w:t>201</w:t>
      </w:r>
      <w:r>
        <w:rPr>
          <w:sz w:val="26"/>
          <w:szCs w:val="26"/>
        </w:rPr>
        <w:t>6г.</w:t>
      </w:r>
      <w:r w:rsidRPr="00615EFB">
        <w:rPr>
          <w:sz w:val="26"/>
          <w:szCs w:val="26"/>
        </w:rPr>
        <w:t xml:space="preserve"> № </w:t>
      </w:r>
      <w:r>
        <w:rPr>
          <w:sz w:val="26"/>
          <w:szCs w:val="26"/>
        </w:rPr>
        <w:t>163</w:t>
      </w:r>
    </w:p>
    <w:p w:rsidR="00A14CEE" w:rsidRPr="00615EFB" w:rsidRDefault="00A14CEE" w:rsidP="00A14CEE">
      <w:pPr>
        <w:ind w:firstLine="7380"/>
        <w:jc w:val="right"/>
        <w:rPr>
          <w:sz w:val="26"/>
          <w:szCs w:val="26"/>
        </w:rPr>
      </w:pPr>
    </w:p>
    <w:p w:rsidR="00A14CEE" w:rsidRPr="00615EFB" w:rsidRDefault="00A14CEE" w:rsidP="00A14CEE">
      <w:pPr>
        <w:jc w:val="center"/>
        <w:rPr>
          <w:b/>
          <w:sz w:val="26"/>
          <w:szCs w:val="26"/>
        </w:rPr>
      </w:pPr>
    </w:p>
    <w:p w:rsidR="00A14CEE" w:rsidRPr="00615EFB" w:rsidRDefault="00A14CEE" w:rsidP="00A14CEE">
      <w:pPr>
        <w:jc w:val="center"/>
        <w:rPr>
          <w:b/>
          <w:sz w:val="26"/>
          <w:szCs w:val="26"/>
        </w:rPr>
      </w:pPr>
      <w:r w:rsidRPr="00615EFB">
        <w:rPr>
          <w:b/>
          <w:sz w:val="26"/>
          <w:szCs w:val="26"/>
        </w:rPr>
        <w:t>ОТЧЕТ</w:t>
      </w:r>
    </w:p>
    <w:p w:rsidR="00A14CEE" w:rsidRDefault="00A14CEE" w:rsidP="00A14CEE">
      <w:pPr>
        <w:ind w:left="720"/>
        <w:jc w:val="center"/>
        <w:rPr>
          <w:sz w:val="26"/>
          <w:szCs w:val="26"/>
        </w:rPr>
      </w:pPr>
      <w:r w:rsidRPr="00615EFB">
        <w:rPr>
          <w:sz w:val="26"/>
          <w:szCs w:val="26"/>
        </w:rPr>
        <w:t xml:space="preserve">об использовании средств резервного фонда бюджета Вихоревского городского поселения </w:t>
      </w:r>
    </w:p>
    <w:p w:rsidR="00A14CEE" w:rsidRPr="00615EFB" w:rsidRDefault="00A14CEE" w:rsidP="00A14CE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2014</w:t>
      </w:r>
      <w:r w:rsidRPr="00615EFB">
        <w:rPr>
          <w:sz w:val="26"/>
          <w:szCs w:val="26"/>
        </w:rPr>
        <w:t xml:space="preserve"> год</w:t>
      </w:r>
    </w:p>
    <w:p w:rsidR="00A14CEE" w:rsidRPr="00615EFB" w:rsidRDefault="00A14CEE" w:rsidP="00A14CEE">
      <w:pPr>
        <w:jc w:val="center"/>
        <w:rPr>
          <w:sz w:val="24"/>
          <w:szCs w:val="26"/>
        </w:rPr>
      </w:pPr>
      <w:r w:rsidRPr="00615EFB">
        <w:rPr>
          <w:b/>
          <w:bCs/>
          <w:sz w:val="26"/>
          <w:szCs w:val="26"/>
        </w:rPr>
        <w:t>(тыс</w:t>
      </w:r>
      <w:proofErr w:type="gramStart"/>
      <w:r w:rsidRPr="00615EFB">
        <w:rPr>
          <w:b/>
          <w:bCs/>
          <w:sz w:val="26"/>
          <w:szCs w:val="26"/>
        </w:rPr>
        <w:t>.р</w:t>
      </w:r>
      <w:proofErr w:type="gramEnd"/>
      <w:r w:rsidRPr="00615EFB">
        <w:rPr>
          <w:b/>
          <w:bCs/>
          <w:sz w:val="26"/>
          <w:szCs w:val="26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509"/>
        <w:gridCol w:w="3360"/>
        <w:gridCol w:w="948"/>
        <w:gridCol w:w="2833"/>
      </w:tblGrid>
      <w:tr w:rsidR="00A14CEE" w:rsidRPr="00615EFB" w:rsidTr="00A14CEE">
        <w:trPr>
          <w:cantSplit/>
          <w:trHeight w:val="1079"/>
          <w:tblHeader/>
        </w:trPr>
        <w:tc>
          <w:tcPr>
            <w:tcW w:w="351" w:type="pct"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 w:rsidRPr="00615EF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15EFB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15EF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15EF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33" w:type="pct"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 w:rsidRPr="00615EFB">
              <w:rPr>
                <w:b/>
                <w:bCs/>
                <w:sz w:val="26"/>
                <w:szCs w:val="26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1923" w:type="pct"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 w:rsidRPr="00615EFB">
              <w:rPr>
                <w:b/>
                <w:bCs/>
                <w:sz w:val="26"/>
                <w:szCs w:val="26"/>
              </w:rPr>
              <w:t>Направление средств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bCs/>
                <w:sz w:val="26"/>
                <w:szCs w:val="26"/>
              </w:rPr>
            </w:pPr>
            <w:r w:rsidRPr="00615EFB">
              <w:rPr>
                <w:b/>
                <w:bCs/>
                <w:sz w:val="26"/>
                <w:szCs w:val="26"/>
              </w:rPr>
              <w:t>Сумма</w:t>
            </w:r>
          </w:p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 w:rsidRPr="00615EFB">
              <w:rPr>
                <w:b/>
                <w:bCs/>
                <w:sz w:val="26"/>
                <w:szCs w:val="26"/>
              </w:rPr>
              <w:t>Исполнено на 01.</w:t>
            </w:r>
            <w:r>
              <w:rPr>
                <w:b/>
                <w:bCs/>
                <w:sz w:val="26"/>
                <w:szCs w:val="26"/>
              </w:rPr>
              <w:t>01</w:t>
            </w:r>
            <w:r w:rsidRPr="00615EFB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14CEE" w:rsidRPr="00615EFB" w:rsidTr="00A14CEE">
        <w:trPr>
          <w:trHeight w:val="354"/>
        </w:trPr>
        <w:tc>
          <w:tcPr>
            <w:tcW w:w="3707" w:type="pct"/>
            <w:gridSpan w:val="3"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Бюджетные ассигнования на 2014</w:t>
            </w:r>
            <w:r w:rsidRPr="00615EFB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93" w:type="pct"/>
            <w:gridSpan w:val="2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615EF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A14CEE" w:rsidRPr="00615EFB" w:rsidTr="00A14CEE">
        <w:trPr>
          <w:trHeight w:val="354"/>
        </w:trPr>
        <w:tc>
          <w:tcPr>
            <w:tcW w:w="351" w:type="pct"/>
            <w:vAlign w:val="center"/>
          </w:tcPr>
          <w:p w:rsidR="00A14CEE" w:rsidRPr="00D24FBC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 w:rsidRPr="00D24F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 xml:space="preserve">№52 от 14.03.2014г. </w:t>
            </w:r>
          </w:p>
        </w:tc>
        <w:tc>
          <w:tcPr>
            <w:tcW w:w="192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Об оказании материальной помощи в связи с трудной жизненной ситуацией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615EF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615EFB">
              <w:rPr>
                <w:bCs/>
                <w:sz w:val="26"/>
                <w:szCs w:val="26"/>
              </w:rPr>
              <w:t>,0</w:t>
            </w:r>
          </w:p>
        </w:tc>
      </w:tr>
      <w:tr w:rsidR="00A14CEE" w:rsidRPr="00615EFB" w:rsidTr="00A14CEE">
        <w:trPr>
          <w:trHeight w:val="732"/>
        </w:trPr>
        <w:tc>
          <w:tcPr>
            <w:tcW w:w="351" w:type="pct"/>
            <w:vAlign w:val="center"/>
          </w:tcPr>
          <w:p w:rsidR="00A14CEE" w:rsidRPr="00D24FBC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 w:rsidRPr="00D24F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3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 xml:space="preserve">№86 от 22.04.2014г. </w:t>
            </w:r>
          </w:p>
        </w:tc>
        <w:tc>
          <w:tcPr>
            <w:tcW w:w="192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Об оказании материальной помощи в связи с пожаром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</w:t>
            </w:r>
          </w:p>
        </w:tc>
      </w:tr>
      <w:tr w:rsidR="00A14CEE" w:rsidRPr="00615EFB" w:rsidTr="00A14CEE">
        <w:trPr>
          <w:trHeight w:val="698"/>
        </w:trPr>
        <w:tc>
          <w:tcPr>
            <w:tcW w:w="351" w:type="pct"/>
            <w:vAlign w:val="center"/>
          </w:tcPr>
          <w:p w:rsidR="00A14CEE" w:rsidRPr="00D24FBC" w:rsidRDefault="00A14CEE" w:rsidP="00022230">
            <w:pPr>
              <w:jc w:val="center"/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3</w:t>
            </w:r>
          </w:p>
        </w:tc>
        <w:tc>
          <w:tcPr>
            <w:tcW w:w="143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№91 от 12.05.2014г.</w:t>
            </w:r>
          </w:p>
        </w:tc>
        <w:tc>
          <w:tcPr>
            <w:tcW w:w="1923" w:type="pct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Об оказании материальной помощи в связи с пожаром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A14CEE" w:rsidRPr="00615EFB" w:rsidTr="00A14CEE">
        <w:trPr>
          <w:trHeight w:val="518"/>
        </w:trPr>
        <w:tc>
          <w:tcPr>
            <w:tcW w:w="351" w:type="pct"/>
            <w:noWrap/>
            <w:vAlign w:val="center"/>
          </w:tcPr>
          <w:p w:rsidR="00A14CEE" w:rsidRPr="00D24FBC" w:rsidRDefault="00A14CEE" w:rsidP="00022230">
            <w:pPr>
              <w:jc w:val="center"/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4</w:t>
            </w:r>
          </w:p>
        </w:tc>
        <w:tc>
          <w:tcPr>
            <w:tcW w:w="1433" w:type="pct"/>
            <w:vAlign w:val="center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№185 от 16.10.2014г.</w:t>
            </w:r>
          </w:p>
        </w:tc>
        <w:tc>
          <w:tcPr>
            <w:tcW w:w="1923" w:type="pct"/>
          </w:tcPr>
          <w:p w:rsidR="00A14CEE" w:rsidRPr="00D24FBC" w:rsidRDefault="00A14CEE" w:rsidP="00022230">
            <w:pPr>
              <w:rPr>
                <w:sz w:val="26"/>
                <w:szCs w:val="26"/>
              </w:rPr>
            </w:pPr>
            <w:r w:rsidRPr="00D24FBC">
              <w:rPr>
                <w:sz w:val="26"/>
                <w:szCs w:val="26"/>
              </w:rPr>
              <w:t>Об оказании материальной помощи в связи с пожаром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A14CEE" w:rsidRPr="00615EFB" w:rsidTr="00A14CEE">
        <w:trPr>
          <w:trHeight w:val="443"/>
        </w:trPr>
        <w:tc>
          <w:tcPr>
            <w:tcW w:w="3707" w:type="pct"/>
            <w:gridSpan w:val="3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szCs w:val="26"/>
              </w:rPr>
            </w:pPr>
            <w:r w:rsidRPr="00615EFB">
              <w:rPr>
                <w:b/>
                <w:szCs w:val="26"/>
              </w:rPr>
              <w:t>Всего расходов</w:t>
            </w:r>
          </w:p>
        </w:tc>
        <w:tc>
          <w:tcPr>
            <w:tcW w:w="504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32,0</w:t>
            </w:r>
          </w:p>
        </w:tc>
        <w:tc>
          <w:tcPr>
            <w:tcW w:w="789" w:type="pct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32,0</w:t>
            </w:r>
          </w:p>
        </w:tc>
      </w:tr>
      <w:tr w:rsidR="00A14CEE" w:rsidRPr="00615EFB" w:rsidTr="00A14CEE">
        <w:trPr>
          <w:trHeight w:val="443"/>
        </w:trPr>
        <w:tc>
          <w:tcPr>
            <w:tcW w:w="3707" w:type="pct"/>
            <w:gridSpan w:val="3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szCs w:val="26"/>
              </w:rPr>
            </w:pPr>
            <w:r w:rsidRPr="00615EFB">
              <w:rPr>
                <w:b/>
                <w:szCs w:val="26"/>
              </w:rPr>
              <w:t>Нераспределенный остаток средств резервного фонда</w:t>
            </w:r>
          </w:p>
        </w:tc>
        <w:tc>
          <w:tcPr>
            <w:tcW w:w="1293" w:type="pct"/>
            <w:gridSpan w:val="2"/>
            <w:noWrap/>
            <w:vAlign w:val="center"/>
          </w:tcPr>
          <w:p w:rsidR="00A14CEE" w:rsidRPr="00615EFB" w:rsidRDefault="00A14CEE" w:rsidP="0002223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68,0</w:t>
            </w:r>
          </w:p>
        </w:tc>
      </w:tr>
    </w:tbl>
    <w:p w:rsidR="00A14CEE" w:rsidRPr="00615EFB" w:rsidRDefault="00A14CEE" w:rsidP="00A14CEE">
      <w:pPr>
        <w:jc w:val="right"/>
        <w:rPr>
          <w:sz w:val="24"/>
          <w:szCs w:val="26"/>
        </w:rPr>
      </w:pPr>
    </w:p>
    <w:p w:rsidR="00A14CEE" w:rsidRPr="00615EFB" w:rsidRDefault="00A14CEE" w:rsidP="00A14CEE">
      <w:pPr>
        <w:jc w:val="right"/>
        <w:rPr>
          <w:sz w:val="24"/>
          <w:szCs w:val="26"/>
        </w:rPr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p w:rsidR="00A14CEE" w:rsidRDefault="00A14CEE" w:rsidP="00CF648F">
      <w:pPr>
        <w:suppressAutoHyphens/>
        <w:jc w:val="both"/>
      </w:pPr>
    </w:p>
    <w:tbl>
      <w:tblPr>
        <w:tblW w:w="5000" w:type="pct"/>
        <w:tblLook w:val="04A0"/>
      </w:tblPr>
      <w:tblGrid>
        <w:gridCol w:w="560"/>
        <w:gridCol w:w="2507"/>
        <w:gridCol w:w="1884"/>
        <w:gridCol w:w="1754"/>
        <w:gridCol w:w="1720"/>
        <w:gridCol w:w="1854"/>
      </w:tblGrid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к решению Думы Вихоревского МО</w:t>
            </w:r>
          </w:p>
        </w:tc>
      </w:tr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13.04.2016 г. </w:t>
            </w:r>
            <w:r w:rsidRPr="00A14CEE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163</w:t>
            </w:r>
          </w:p>
        </w:tc>
      </w:tr>
      <w:tr w:rsidR="00A14CEE" w:rsidRPr="00A14CEE" w:rsidTr="00A14CEE">
        <w:trPr>
          <w:trHeight w:val="93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ОТЧЕТ ОБ ИСПОЛЬЗОВАНИИ БЮДЖЕТНЫХ АССИГНОВАНИЙ ДОРОЖНОГО ФОНДА                                                                     ВИХОРЕСКОГО ГОРОДСКОГО ПОСЕЛЕНИЯ В 2014  ГОДУ</w:t>
            </w:r>
          </w:p>
        </w:tc>
      </w:tr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</w:tr>
      <w:tr w:rsidR="00A14CEE" w:rsidRPr="00A14CEE" w:rsidTr="00A14CEE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A14CE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14CEE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A14CEE" w:rsidRPr="00A14CEE" w:rsidTr="00A14CEE">
        <w:trPr>
          <w:trHeight w:val="312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4CE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4CE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14CE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 xml:space="preserve">Утвержденный объем бюджетных ассигнований дорожного фонда 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 xml:space="preserve">Использовано бюджетных ассигнований дорожного фонда  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 xml:space="preserve">Остаток бюджетных ассигнований дорожного фонда 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 xml:space="preserve">Процент использования бюджетных ассигнований дорожного фонда  </w:t>
            </w:r>
          </w:p>
        </w:tc>
      </w:tr>
      <w:tr w:rsidR="00A14CEE" w:rsidRPr="00A14CEE" w:rsidTr="00A14CEE">
        <w:trPr>
          <w:trHeight w:val="1609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4CEE" w:rsidRPr="00A14CEE" w:rsidTr="00A14CEE">
        <w:trPr>
          <w:trHeight w:val="6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3 839,2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3 711,6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96,7%</w:t>
            </w:r>
          </w:p>
        </w:tc>
      </w:tr>
      <w:tr w:rsidR="00A14CEE" w:rsidRPr="00A14CEE" w:rsidTr="00A14CEE">
        <w:trPr>
          <w:trHeight w:val="126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3 218,8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64,6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3 154,2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2,0%</w:t>
            </w:r>
          </w:p>
        </w:tc>
      </w:tr>
      <w:tr w:rsidR="00A14CEE" w:rsidRPr="00A14CEE" w:rsidTr="00A14CEE">
        <w:trPr>
          <w:trHeight w:val="126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 xml:space="preserve">Прочие направления при осуществлении дорожной деятельности, необходимые для развития и </w:t>
            </w:r>
            <w:proofErr w:type="gramStart"/>
            <w:r w:rsidRPr="00A14CEE">
              <w:rPr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A14CEE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450,0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450,0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sz w:val="24"/>
                <w:szCs w:val="24"/>
              </w:rPr>
            </w:pPr>
            <w:r w:rsidRPr="00A14CEE">
              <w:rPr>
                <w:sz w:val="24"/>
                <w:szCs w:val="24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color w:val="000000"/>
                <w:sz w:val="24"/>
                <w:szCs w:val="24"/>
              </w:rPr>
            </w:pPr>
            <w:r w:rsidRPr="00A14CEE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4CEE" w:rsidRPr="00A14CEE" w:rsidTr="00A14CEE">
        <w:trPr>
          <w:trHeight w:val="3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E" w:rsidRPr="00A14CEE" w:rsidRDefault="00A14CEE" w:rsidP="00A14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E" w:rsidRPr="00A14CEE" w:rsidRDefault="00A14CEE" w:rsidP="00A14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7 508,0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3 281,8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EE" w:rsidRPr="00A14CEE" w:rsidRDefault="00A14CEE" w:rsidP="00A14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4CEE">
              <w:rPr>
                <w:b/>
                <w:bCs/>
                <w:color w:val="000000"/>
                <w:sz w:val="24"/>
                <w:szCs w:val="24"/>
              </w:rPr>
              <w:t>56,3%</w:t>
            </w:r>
          </w:p>
        </w:tc>
      </w:tr>
      <w:tr w:rsidR="00A14CEE" w:rsidRPr="00A14CEE" w:rsidTr="00A14CE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EE" w:rsidRPr="00A14CEE" w:rsidRDefault="00A14CEE" w:rsidP="00A14CE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14CEE" w:rsidRDefault="00A14CEE" w:rsidP="00CF648F">
      <w:pPr>
        <w:suppressAutoHyphens/>
        <w:jc w:val="both"/>
      </w:pPr>
    </w:p>
    <w:sectPr w:rsidR="00A14CEE" w:rsidSect="0076791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5BE"/>
    <w:multiLevelType w:val="hybridMultilevel"/>
    <w:tmpl w:val="8B3C15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7916"/>
    <w:rsid w:val="000715C3"/>
    <w:rsid w:val="0018685A"/>
    <w:rsid w:val="002E32A2"/>
    <w:rsid w:val="00367846"/>
    <w:rsid w:val="00593FC6"/>
    <w:rsid w:val="00767916"/>
    <w:rsid w:val="009E7F56"/>
    <w:rsid w:val="00A14CEE"/>
    <w:rsid w:val="00A20514"/>
    <w:rsid w:val="00CF648F"/>
    <w:rsid w:val="00E0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791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2016-04-21T08:41:00Z</cp:lastPrinted>
  <dcterms:created xsi:type="dcterms:W3CDTF">2016-04-14T07:29:00Z</dcterms:created>
  <dcterms:modified xsi:type="dcterms:W3CDTF">2016-04-21T08:43:00Z</dcterms:modified>
</cp:coreProperties>
</file>